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0CF" w:rsidRDefault="00ED50CF" w:rsidP="00ED50CF">
      <w:pPr>
        <w:spacing w:after="0" w:line="240" w:lineRule="auto"/>
        <w:rPr>
          <w:rFonts w:ascii="Calibri" w:eastAsia="Tahoma" w:hAnsi="Calibri"/>
          <w:szCs w:val="24"/>
        </w:rPr>
      </w:pPr>
      <w:bookmarkStart w:id="0" w:name="_GoBack"/>
      <w:bookmarkEnd w:id="0"/>
    </w:p>
    <w:p w:rsidR="00ED50CF" w:rsidRPr="00ED50CF" w:rsidRDefault="00ED50CF" w:rsidP="00ED50CF">
      <w:pPr>
        <w:spacing w:after="0" w:line="240" w:lineRule="auto"/>
        <w:jc w:val="center"/>
        <w:rPr>
          <w:rFonts w:ascii="Calibri" w:eastAsia="Tahoma" w:hAnsi="Calibri"/>
          <w:b/>
          <w:color w:val="7E1465"/>
          <w:sz w:val="36"/>
          <w:szCs w:val="24"/>
        </w:rPr>
      </w:pPr>
      <w:r w:rsidRPr="00ED50CF">
        <w:rPr>
          <w:rFonts w:ascii="Calibri" w:eastAsia="Tahoma" w:hAnsi="Calibri"/>
          <w:b/>
          <w:color w:val="7E1465"/>
          <w:sz w:val="36"/>
          <w:szCs w:val="24"/>
        </w:rPr>
        <w:t>Les enjeux et grands paramètres de mon territoire</w:t>
      </w:r>
    </w:p>
    <w:p w:rsidR="00ED50CF" w:rsidRDefault="00ED50CF" w:rsidP="00ED50CF">
      <w:pPr>
        <w:spacing w:after="0" w:line="240" w:lineRule="auto"/>
        <w:rPr>
          <w:rFonts w:ascii="Calibri" w:eastAsia="Tahoma" w:hAnsi="Calibri"/>
          <w:szCs w:val="24"/>
        </w:rPr>
      </w:pPr>
    </w:p>
    <w:p w:rsidR="00ED50CF" w:rsidRDefault="00ED50CF" w:rsidP="00ED50CF">
      <w:pPr>
        <w:spacing w:after="0" w:line="240" w:lineRule="auto"/>
        <w:rPr>
          <w:rFonts w:ascii="Calibri" w:eastAsia="Tahoma" w:hAnsi="Calibri"/>
          <w:b/>
          <w:color w:val="009E8D"/>
          <w:sz w:val="24"/>
          <w:szCs w:val="24"/>
        </w:rPr>
      </w:pPr>
    </w:p>
    <w:p w:rsidR="00ED50CF" w:rsidRDefault="00ED50CF" w:rsidP="00ED50CF">
      <w:pPr>
        <w:spacing w:after="0" w:line="240" w:lineRule="auto"/>
        <w:rPr>
          <w:rFonts w:ascii="Calibri" w:eastAsia="Tahoma" w:hAnsi="Calibri"/>
          <w:b/>
          <w:color w:val="009E8D"/>
          <w:sz w:val="24"/>
          <w:szCs w:val="24"/>
        </w:rPr>
      </w:pPr>
    </w:p>
    <w:p w:rsidR="00ED50CF" w:rsidRPr="00ED50CF" w:rsidRDefault="00ED50CF" w:rsidP="00ED50CF">
      <w:pPr>
        <w:spacing w:after="0" w:line="240" w:lineRule="auto"/>
        <w:rPr>
          <w:rFonts w:ascii="Calibri" w:eastAsia="Tahoma" w:hAnsi="Calibri"/>
          <w:b/>
          <w:color w:val="009E8D"/>
          <w:sz w:val="24"/>
          <w:szCs w:val="24"/>
        </w:rPr>
      </w:pPr>
      <w:r w:rsidRPr="00ED50CF">
        <w:rPr>
          <w:rFonts w:ascii="Calibri" w:eastAsia="Tahoma" w:hAnsi="Calibri"/>
          <w:b/>
          <w:color w:val="009E8D"/>
          <w:sz w:val="24"/>
          <w:szCs w:val="24"/>
        </w:rPr>
        <w:t>Les enjeux de transition écologique</w:t>
      </w:r>
      <w:r>
        <w:rPr>
          <w:rFonts w:ascii="Calibri" w:eastAsia="Tahoma" w:hAnsi="Calibri"/>
          <w:b/>
          <w:color w:val="009E8D"/>
          <w:sz w:val="24"/>
          <w:szCs w:val="24"/>
        </w:rPr>
        <w:t xml:space="preserve"> de mon territoire</w:t>
      </w:r>
    </w:p>
    <w:p w:rsidR="00ED50CF" w:rsidRDefault="00ED50CF" w:rsidP="00ED50CF">
      <w:pPr>
        <w:spacing w:after="0" w:line="240" w:lineRule="auto"/>
        <w:rPr>
          <w:rFonts w:ascii="Calibri" w:eastAsia="Tahoma" w:hAnsi="Calibri"/>
          <w:szCs w:val="24"/>
        </w:rPr>
      </w:pPr>
    </w:p>
    <w:p w:rsidR="00ED50CF" w:rsidRDefault="00ED50CF" w:rsidP="00ED50CF">
      <w:pPr>
        <w:spacing w:after="0" w:line="240" w:lineRule="auto"/>
        <w:rPr>
          <w:rFonts w:ascii="Calibri" w:eastAsia="Tahoma" w:hAnsi="Calibri"/>
          <w:szCs w:val="24"/>
        </w:rPr>
      </w:pPr>
      <w:r>
        <w:rPr>
          <w:rFonts w:ascii="Calibri" w:eastAsia="Tahoma" w:hAnsi="Calibri"/>
          <w:szCs w:val="24"/>
        </w:rPr>
        <w:t>Les enjeux de transition écologique sont communs à beaucoup de territoires</w:t>
      </w:r>
      <w:r w:rsidR="00761636">
        <w:rPr>
          <w:rFonts w:ascii="Calibri" w:eastAsia="Tahoma" w:hAnsi="Calibri"/>
          <w:szCs w:val="24"/>
        </w:rPr>
        <w:t>.</w:t>
      </w:r>
      <w:r w:rsidR="00AF678D">
        <w:rPr>
          <w:rFonts w:ascii="Calibri" w:eastAsia="Tahoma" w:hAnsi="Calibri"/>
          <w:szCs w:val="24"/>
        </w:rPr>
        <w:t xml:space="preserve"> En voici une définition officielle.</w:t>
      </w:r>
    </w:p>
    <w:p w:rsidR="00CD643A" w:rsidRPr="00761636" w:rsidRDefault="00CD643A" w:rsidP="00ED50CF">
      <w:pPr>
        <w:spacing w:after="0" w:line="240" w:lineRule="auto"/>
        <w:rPr>
          <w:rFonts w:ascii="Calibri" w:eastAsia="Tahoma" w:hAnsi="Calibri"/>
          <w:color w:val="009E8D"/>
          <w:szCs w:val="24"/>
        </w:rPr>
      </w:pPr>
    </w:p>
    <w:p w:rsidR="00CD643A" w:rsidRPr="00761636" w:rsidRDefault="00761636" w:rsidP="00ED50CF">
      <w:pPr>
        <w:spacing w:after="0" w:line="240" w:lineRule="auto"/>
        <w:rPr>
          <w:rFonts w:ascii="Calibri" w:eastAsia="Tahoma" w:hAnsi="Calibri"/>
          <w:color w:val="009E8D"/>
          <w:szCs w:val="24"/>
        </w:rPr>
      </w:pPr>
      <w:r w:rsidRPr="00761636">
        <w:rPr>
          <w:rFonts w:ascii="Calibri" w:hAnsi="Calibri" w:cs="Arial"/>
          <w:i/>
          <w:noProof/>
          <w:u w:val="single"/>
          <w:lang w:eastAsia="fr-FR"/>
        </w:rPr>
        <mc:AlternateContent>
          <mc:Choice Requires="wps">
            <w:drawing>
              <wp:anchor distT="45720" distB="45720" distL="114300" distR="114300" simplePos="0" relativeHeight="251659264" behindDoc="0" locked="0" layoutInCell="1" allowOverlap="1" wp14:anchorId="50CA468A" wp14:editId="7B010448">
                <wp:simplePos x="0" y="0"/>
                <wp:positionH relativeFrom="column">
                  <wp:posOffset>90805</wp:posOffset>
                </wp:positionH>
                <wp:positionV relativeFrom="paragraph">
                  <wp:posOffset>13335</wp:posOffset>
                </wp:positionV>
                <wp:extent cx="8305800" cy="1404620"/>
                <wp:effectExtent l="0" t="0" r="19050" b="158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0" cy="1404620"/>
                        </a:xfrm>
                        <a:prstGeom prst="rect">
                          <a:avLst/>
                        </a:prstGeom>
                        <a:solidFill>
                          <a:srgbClr val="FFFFFF"/>
                        </a:solidFill>
                        <a:ln w="9525">
                          <a:solidFill>
                            <a:srgbClr val="7E1465"/>
                          </a:solidFill>
                          <a:miter lim="800000"/>
                          <a:headEnd/>
                          <a:tailEnd/>
                        </a:ln>
                      </wps:spPr>
                      <wps:txbx>
                        <w:txbxContent>
                          <w:p w:rsidR="00761636" w:rsidRPr="00761636" w:rsidRDefault="00761636" w:rsidP="00761636">
                            <w:pPr>
                              <w:pStyle w:val="NormalWeb"/>
                              <w:spacing w:before="0" w:beforeAutospacing="0" w:after="0" w:afterAutospacing="0"/>
                              <w:jc w:val="center"/>
                              <w:rPr>
                                <w:rFonts w:ascii="Calibri" w:hAnsi="Calibri" w:cs="Arial"/>
                                <w:b/>
                                <w:color w:val="7E1465"/>
                              </w:rPr>
                            </w:pPr>
                            <w:r w:rsidRPr="00761636">
                              <w:rPr>
                                <w:rFonts w:ascii="Calibri" w:hAnsi="Calibri" w:cs="Arial"/>
                                <w:b/>
                                <w:color w:val="7E1465"/>
                                <w:u w:val="single"/>
                              </w:rPr>
                              <w:t>Définition officielle de la transition écologique</w:t>
                            </w:r>
                            <w:r w:rsidRPr="00761636">
                              <w:rPr>
                                <w:rFonts w:ascii="Calibri" w:hAnsi="Calibri" w:cs="Arial"/>
                                <w:color w:val="7E1465"/>
                              </w:rPr>
                              <w:t xml:space="preserve"> </w:t>
                            </w:r>
                            <w:r w:rsidRPr="00761636">
                              <w:rPr>
                                <w:rFonts w:ascii="Calibri" w:hAnsi="Calibri" w:cs="Arial"/>
                                <w:b/>
                                <w:color w:val="7E1465"/>
                              </w:rPr>
                              <w:t>(mars 2014)</w:t>
                            </w:r>
                          </w:p>
                          <w:p w:rsidR="00761636" w:rsidRPr="00761636" w:rsidRDefault="00761636" w:rsidP="00761636">
                            <w:pPr>
                              <w:pStyle w:val="NormalWeb"/>
                              <w:spacing w:before="0" w:beforeAutospacing="0" w:after="120" w:afterAutospacing="0"/>
                              <w:rPr>
                                <w:rFonts w:ascii="Calibri" w:hAnsi="Calibri" w:cs="Arial"/>
                                <w:i/>
                                <w:u w:val="single"/>
                              </w:rPr>
                            </w:pPr>
                          </w:p>
                          <w:p w:rsidR="00761636" w:rsidRPr="00761636" w:rsidRDefault="00761636" w:rsidP="00761636">
                            <w:pPr>
                              <w:pStyle w:val="NormalWeb"/>
                              <w:spacing w:before="0" w:beforeAutospacing="0" w:after="120" w:afterAutospacing="0"/>
                              <w:rPr>
                                <w:rFonts w:ascii="Calibri" w:hAnsi="Calibri"/>
                                <w:i/>
                                <w:sz w:val="22"/>
                                <w:szCs w:val="22"/>
                              </w:rPr>
                            </w:pPr>
                            <w:r w:rsidRPr="00761636">
                              <w:rPr>
                                <w:rFonts w:ascii="Calibri" w:hAnsi="Calibri"/>
                                <w:i/>
                                <w:sz w:val="22"/>
                                <w:szCs w:val="22"/>
                              </w:rPr>
                              <w:t>D’après le site du Ministère de l’Écologie, du Développement Durable et de l’Énergie</w:t>
                            </w:r>
                            <w:r w:rsidRPr="00761636">
                              <w:rPr>
                                <w:rFonts w:ascii="Calibri" w:hAnsi="Calibri" w:cs="Arial"/>
                                <w:i/>
                                <w:sz w:val="20"/>
                              </w:rPr>
                              <w:t>, « l</w:t>
                            </w:r>
                            <w:r w:rsidRPr="00761636">
                              <w:rPr>
                                <w:rFonts w:ascii="Calibri" w:hAnsi="Calibri"/>
                                <w:i/>
                                <w:sz w:val="22"/>
                                <w:szCs w:val="22"/>
                              </w:rPr>
                              <w:t>a transition écologique implique une utilisation rationnelle et efficace vis-à-vis de toutes les ressources, y compris la sollicitation des régulations naturelles (climat, écosystèmes), et de résilience face aux aléas climatiques pour les territoires, les procédés industriels et agricoles, les biens et les services.</w:t>
                            </w:r>
                          </w:p>
                          <w:p w:rsidR="00761636" w:rsidRPr="00761636" w:rsidRDefault="00761636" w:rsidP="00761636">
                            <w:pPr>
                              <w:pStyle w:val="NormalWeb"/>
                              <w:spacing w:before="0" w:beforeAutospacing="0" w:after="120" w:afterAutospacing="0"/>
                              <w:rPr>
                                <w:rFonts w:ascii="Calibri" w:hAnsi="Calibri"/>
                                <w:i/>
                                <w:sz w:val="22"/>
                                <w:szCs w:val="22"/>
                              </w:rPr>
                            </w:pPr>
                            <w:r w:rsidRPr="00761636">
                              <w:rPr>
                                <w:rFonts w:ascii="Calibri" w:hAnsi="Calibri"/>
                                <w:i/>
                                <w:sz w:val="22"/>
                                <w:szCs w:val="22"/>
                              </w:rPr>
                              <w:t>Elle concerne notamment :</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rénovation thermique des bâtiments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L’adaptation des transports et de l’aménagement des territoires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production, le stockage et les usages des énergies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sobriété en eau</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préservation et la restauration des écosystèmes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L’économie circulaire</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moindre dépendance aux ressources rares. </w:t>
                            </w:r>
                          </w:p>
                          <w:p w:rsidR="00761636" w:rsidRPr="00761636" w:rsidRDefault="00761636" w:rsidP="00761636">
                            <w:pPr>
                              <w:pStyle w:val="NormalWeb"/>
                              <w:spacing w:before="0" w:beforeAutospacing="0" w:after="120" w:afterAutospacing="0"/>
                              <w:rPr>
                                <w:rFonts w:ascii="Calibri" w:hAnsi="Calibri"/>
                                <w:i/>
                                <w:sz w:val="22"/>
                                <w:szCs w:val="22"/>
                              </w:rPr>
                            </w:pPr>
                            <w:r w:rsidRPr="00761636">
                              <w:rPr>
                                <w:rFonts w:ascii="Calibri" w:hAnsi="Calibri"/>
                                <w:i/>
                                <w:sz w:val="22"/>
                                <w:szCs w:val="22"/>
                              </w:rPr>
                              <w:t xml:space="preserve">La transition écologique n’est pas un simple verdissement de notre modèle de société actuel. Engager la transition écologique, c’est adopter un nouveau modèle économique et social, un modèle qui renouvelle nos façons de consommer, de produire, de travailler, de vivre ensemble.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CA468A" id="_x0000_t202" coordsize="21600,21600" o:spt="202" path="m,l,21600r21600,l21600,xe">
                <v:stroke joinstyle="miter"/>
                <v:path gradientshapeok="t" o:connecttype="rect"/>
              </v:shapetype>
              <v:shape id="Zone de texte 2" o:spid="_x0000_s1026" type="#_x0000_t202" style="position:absolute;margin-left:7.15pt;margin-top:1.05pt;width:654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" strokecolor="#7e1465">
                <v:textbox style="mso-fit-shape-to-text:t">
                  <w:txbxContent>
                    <w:p w:rsidR="00761636" w:rsidRPr="00761636" w:rsidRDefault="00761636" w:rsidP="00761636">
                      <w:pPr>
                        <w:pStyle w:val="NormalWeb"/>
                        <w:spacing w:before="0" w:beforeAutospacing="0" w:after="0" w:afterAutospacing="0"/>
                        <w:jc w:val="center"/>
                        <w:rPr>
                          <w:rFonts w:ascii="Calibri" w:hAnsi="Calibri" w:cs="Arial"/>
                          <w:b/>
                          <w:color w:val="7E1465"/>
                        </w:rPr>
                      </w:pPr>
                      <w:r w:rsidRPr="00761636">
                        <w:rPr>
                          <w:rFonts w:ascii="Calibri" w:hAnsi="Calibri" w:cs="Arial"/>
                          <w:b/>
                          <w:color w:val="7E1465"/>
                          <w:u w:val="single"/>
                        </w:rPr>
                        <w:t>Définition officielle de la transition écologique</w:t>
                      </w:r>
                      <w:r w:rsidRPr="00761636">
                        <w:rPr>
                          <w:rFonts w:ascii="Calibri" w:hAnsi="Calibri" w:cs="Arial"/>
                          <w:color w:val="7E1465"/>
                        </w:rPr>
                        <w:t xml:space="preserve"> </w:t>
                      </w:r>
                      <w:r w:rsidRPr="00761636">
                        <w:rPr>
                          <w:rFonts w:ascii="Calibri" w:hAnsi="Calibri" w:cs="Arial"/>
                          <w:b/>
                          <w:color w:val="7E1465"/>
                        </w:rPr>
                        <w:t>(mars 2014)</w:t>
                      </w:r>
                    </w:p>
                    <w:p w:rsidR="00761636" w:rsidRPr="00761636" w:rsidRDefault="00761636" w:rsidP="00761636">
                      <w:pPr>
                        <w:pStyle w:val="NormalWeb"/>
                        <w:spacing w:before="0" w:beforeAutospacing="0" w:after="120" w:afterAutospacing="0"/>
                        <w:rPr>
                          <w:rFonts w:ascii="Calibri" w:hAnsi="Calibri" w:cs="Arial"/>
                          <w:i/>
                          <w:u w:val="single"/>
                        </w:rPr>
                      </w:pPr>
                    </w:p>
                    <w:p w:rsidR="00761636" w:rsidRPr="00761636" w:rsidRDefault="00761636" w:rsidP="00761636">
                      <w:pPr>
                        <w:pStyle w:val="NormalWeb"/>
                        <w:spacing w:before="0" w:beforeAutospacing="0" w:after="120" w:afterAutospacing="0"/>
                        <w:rPr>
                          <w:rFonts w:ascii="Calibri" w:hAnsi="Calibri"/>
                          <w:i/>
                          <w:sz w:val="22"/>
                          <w:szCs w:val="22"/>
                        </w:rPr>
                      </w:pPr>
                      <w:r w:rsidRPr="00761636">
                        <w:rPr>
                          <w:rFonts w:ascii="Calibri" w:hAnsi="Calibri"/>
                          <w:i/>
                          <w:sz w:val="22"/>
                          <w:szCs w:val="22"/>
                        </w:rPr>
                        <w:t>D’après le site du Ministère de l’Écologie, du Développement Durable et de l’Énergie</w:t>
                      </w:r>
                      <w:r w:rsidRPr="00761636">
                        <w:rPr>
                          <w:rFonts w:ascii="Calibri" w:hAnsi="Calibri" w:cs="Arial"/>
                          <w:i/>
                          <w:sz w:val="20"/>
                        </w:rPr>
                        <w:t>, « l</w:t>
                      </w:r>
                      <w:r w:rsidRPr="00761636">
                        <w:rPr>
                          <w:rFonts w:ascii="Calibri" w:hAnsi="Calibri"/>
                          <w:i/>
                          <w:sz w:val="22"/>
                          <w:szCs w:val="22"/>
                        </w:rPr>
                        <w:t>a transition écologique implique une utilisation rationnelle et efficace vis-à-vis de toutes les ressources, y compris la sollicitation des régulations naturelles (climat, écosystèmes), et de résilience face aux aléas climatiques pour les territoires, les procédés industriels et agricoles, les biens et les services.</w:t>
                      </w:r>
                    </w:p>
                    <w:p w:rsidR="00761636" w:rsidRPr="00761636" w:rsidRDefault="00761636" w:rsidP="00761636">
                      <w:pPr>
                        <w:pStyle w:val="NormalWeb"/>
                        <w:spacing w:before="0" w:beforeAutospacing="0" w:after="120" w:afterAutospacing="0"/>
                        <w:rPr>
                          <w:rFonts w:ascii="Calibri" w:hAnsi="Calibri"/>
                          <w:i/>
                          <w:sz w:val="22"/>
                          <w:szCs w:val="22"/>
                        </w:rPr>
                      </w:pPr>
                      <w:r w:rsidRPr="00761636">
                        <w:rPr>
                          <w:rFonts w:ascii="Calibri" w:hAnsi="Calibri"/>
                          <w:i/>
                          <w:sz w:val="22"/>
                          <w:szCs w:val="22"/>
                        </w:rPr>
                        <w:t>Elle concerne notamment :</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rénovation thermique des bâtiments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L’adaptation des transports et de l’aménagement des territoires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production, le stockage et les usages des énergies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sobriété en eau</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préservation et la restauration des écosystèmes</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L’économie circulaire</w:t>
                      </w:r>
                    </w:p>
                    <w:p w:rsidR="00761636" w:rsidRPr="00761636" w:rsidRDefault="00761636" w:rsidP="00761636">
                      <w:pPr>
                        <w:numPr>
                          <w:ilvl w:val="0"/>
                          <w:numId w:val="10"/>
                        </w:numPr>
                        <w:spacing w:after="120" w:line="240" w:lineRule="auto"/>
                        <w:rPr>
                          <w:rFonts w:ascii="Calibri" w:hAnsi="Calibri"/>
                          <w:i/>
                        </w:rPr>
                      </w:pPr>
                      <w:r w:rsidRPr="00761636">
                        <w:rPr>
                          <w:rFonts w:ascii="Calibri" w:hAnsi="Calibri"/>
                          <w:i/>
                        </w:rPr>
                        <w:t>La moindre dépendance aux ressources rares. </w:t>
                      </w:r>
                    </w:p>
                    <w:p w:rsidR="00761636" w:rsidRPr="00761636" w:rsidRDefault="00761636" w:rsidP="00761636">
                      <w:pPr>
                        <w:pStyle w:val="NormalWeb"/>
                        <w:spacing w:before="0" w:beforeAutospacing="0" w:after="120" w:afterAutospacing="0"/>
                        <w:rPr>
                          <w:rFonts w:ascii="Calibri" w:hAnsi="Calibri"/>
                          <w:i/>
                          <w:sz w:val="22"/>
                          <w:szCs w:val="22"/>
                        </w:rPr>
                      </w:pPr>
                      <w:r w:rsidRPr="00761636">
                        <w:rPr>
                          <w:rFonts w:ascii="Calibri" w:hAnsi="Calibri"/>
                          <w:i/>
                          <w:sz w:val="22"/>
                          <w:szCs w:val="22"/>
                        </w:rPr>
                        <w:t xml:space="preserve">La transition écologique n’est pas un simple verdissement de notre modèle de société actuel. Engager la transition écologique, c’est adopter un nouveau modèle économique et social, un modèle qui renouvelle nos façons de consommer, de produire, de travailler, de vivre ensemble. </w:t>
                      </w:r>
                    </w:p>
                  </w:txbxContent>
                </v:textbox>
                <w10:wrap type="square"/>
              </v:shape>
            </w:pict>
          </mc:Fallback>
        </mc:AlternateContent>
      </w:r>
    </w:p>
    <w:p w:rsidR="00CD643A" w:rsidRPr="00761636" w:rsidRDefault="00CD643A" w:rsidP="00ED50CF">
      <w:pPr>
        <w:spacing w:after="0" w:line="240" w:lineRule="auto"/>
        <w:rPr>
          <w:rFonts w:ascii="Calibri" w:eastAsia="Tahoma" w:hAnsi="Calibri"/>
          <w:color w:val="009E8D"/>
          <w:szCs w:val="24"/>
        </w:rPr>
      </w:pPr>
    </w:p>
    <w:p w:rsidR="00CD643A" w:rsidRPr="00761636" w:rsidRDefault="00CD643A" w:rsidP="00ED50CF">
      <w:pPr>
        <w:spacing w:after="0" w:line="240" w:lineRule="auto"/>
        <w:rPr>
          <w:rFonts w:ascii="Calibri" w:eastAsia="Tahoma" w:hAnsi="Calibri"/>
          <w:color w:val="009E8D"/>
          <w:szCs w:val="24"/>
        </w:rPr>
      </w:pPr>
    </w:p>
    <w:p w:rsidR="00CD643A" w:rsidRPr="00761636" w:rsidRDefault="00CD643A" w:rsidP="00ED50CF">
      <w:pPr>
        <w:spacing w:after="0" w:line="240" w:lineRule="auto"/>
        <w:rPr>
          <w:rFonts w:ascii="Calibri" w:eastAsia="Tahoma" w:hAnsi="Calibri"/>
          <w:color w:val="009E8D"/>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CD643A" w:rsidRDefault="00CD643A"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761636" w:rsidRDefault="00761636" w:rsidP="00ED50CF">
      <w:pPr>
        <w:spacing w:after="0" w:line="240" w:lineRule="auto"/>
        <w:rPr>
          <w:rFonts w:ascii="Calibri" w:eastAsia="Tahoma" w:hAnsi="Calibri"/>
          <w:szCs w:val="24"/>
        </w:rPr>
      </w:pPr>
    </w:p>
    <w:p w:rsidR="00ED50CF" w:rsidRDefault="00ED50CF" w:rsidP="00ED50CF">
      <w:pPr>
        <w:spacing w:after="0" w:line="240" w:lineRule="auto"/>
        <w:rPr>
          <w:rFonts w:ascii="Calibri" w:eastAsia="Tahoma" w:hAnsi="Calibri"/>
          <w:szCs w:val="24"/>
        </w:rPr>
      </w:pPr>
      <w:r>
        <w:rPr>
          <w:rFonts w:ascii="Calibri" w:eastAsia="Tahoma" w:hAnsi="Calibri"/>
          <w:szCs w:val="24"/>
        </w:rPr>
        <w:t>Néanmoins il existe des particularités locales. Le tableau ci-dessous en présente quelques-unes relatives à l’Île-de-France. A vous de remplir la colonne de droite au regard de votre territoire.</w:t>
      </w:r>
    </w:p>
    <w:p w:rsidR="009E009B" w:rsidRPr="003572A0" w:rsidRDefault="009E009B" w:rsidP="00ED50CF">
      <w:pPr>
        <w:spacing w:after="0" w:line="240" w:lineRule="auto"/>
        <w:rPr>
          <w:rFonts w:ascii="Calibri" w:eastAsia="Tahoma" w:hAnsi="Calibri" w:cs="Times New Roman"/>
          <w:szCs w:val="24"/>
        </w:rPr>
      </w:pPr>
    </w:p>
    <w:tbl>
      <w:tblPr>
        <w:tblStyle w:val="Grilledutableau"/>
        <w:tblpPr w:leftFromText="141" w:rightFromText="141" w:vertAnchor="page" w:horzAnchor="margin" w:tblpY="11065"/>
        <w:tblW w:w="0" w:type="auto"/>
        <w:tblLook w:val="04A0" w:firstRow="1" w:lastRow="0" w:firstColumn="1" w:lastColumn="0" w:noHBand="0" w:noVBand="1"/>
      </w:tblPr>
      <w:tblGrid>
        <w:gridCol w:w="6997"/>
        <w:gridCol w:w="6997"/>
      </w:tblGrid>
      <w:tr w:rsidR="00761636" w:rsidRPr="00BC12C6" w:rsidTr="00761636">
        <w:tc>
          <w:tcPr>
            <w:tcW w:w="6997" w:type="dxa"/>
          </w:tcPr>
          <w:p w:rsidR="00761636" w:rsidRPr="00BC12C6" w:rsidRDefault="00761636" w:rsidP="00761636">
            <w:pPr>
              <w:jc w:val="center"/>
              <w:rPr>
                <w:rFonts w:ascii="Calibri" w:eastAsia="Tahoma" w:hAnsi="Calibri"/>
                <w:szCs w:val="24"/>
              </w:rPr>
            </w:pPr>
            <w:bookmarkStart w:id="1" w:name="_Toc399946073"/>
            <w:r w:rsidRPr="00BC12C6">
              <w:rPr>
                <w:rFonts w:ascii="Calibri" w:eastAsia="Tahoma" w:hAnsi="Calibri"/>
                <w:szCs w:val="24"/>
              </w:rPr>
              <w:t>Île-de-France</w:t>
            </w:r>
          </w:p>
        </w:tc>
        <w:tc>
          <w:tcPr>
            <w:tcW w:w="6997" w:type="dxa"/>
          </w:tcPr>
          <w:p w:rsidR="00761636" w:rsidRPr="00BC12C6" w:rsidRDefault="00761636" w:rsidP="00761636">
            <w:pPr>
              <w:jc w:val="center"/>
              <w:rPr>
                <w:rFonts w:ascii="Calibri" w:eastAsia="Tahoma" w:hAnsi="Calibri"/>
                <w:szCs w:val="24"/>
              </w:rPr>
            </w:pPr>
            <w:r w:rsidRPr="00BC12C6">
              <w:rPr>
                <w:rFonts w:ascii="Calibri" w:eastAsia="Tahoma" w:hAnsi="Calibri"/>
                <w:szCs w:val="24"/>
              </w:rPr>
              <w:t>Votre territoire</w:t>
            </w:r>
          </w:p>
        </w:tc>
      </w:tr>
      <w:tr w:rsidR="00761636" w:rsidRPr="00BC12C6" w:rsidTr="00761636">
        <w:tc>
          <w:tcPr>
            <w:tcW w:w="6997" w:type="dxa"/>
          </w:tcPr>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Pression foncière.</w:t>
            </w:r>
          </w:p>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Saturation des réseaux de transports en commun.</w:t>
            </w:r>
          </w:p>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Fort impact en termes d’émissions de gaz à effet de serre de la région et empreinte écologique élevée.</w:t>
            </w:r>
          </w:p>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Dépendance alimentaire : la grande majorité des produits ne viennent pas d’Île-de-France alors qu’il y a plus de 70 % d’espaces ruraux (forêts, terres agricoles) et un historique en termes d’autonomie alimentaire…</w:t>
            </w:r>
          </w:p>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Perception de la nature comme lieu récréatif.</w:t>
            </w:r>
          </w:p>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Territoire vulnérable face au changement climatique (risques de sécheresse, inondations, etc.).</w:t>
            </w:r>
          </w:p>
          <w:p w:rsidR="00761636" w:rsidRPr="003572A0" w:rsidRDefault="00761636" w:rsidP="00761636">
            <w:pPr>
              <w:numPr>
                <w:ilvl w:val="0"/>
                <w:numId w:val="5"/>
              </w:numPr>
              <w:autoSpaceDE w:val="0"/>
              <w:autoSpaceDN w:val="0"/>
              <w:adjustRightInd w:val="0"/>
              <w:spacing w:before="120" w:after="120"/>
              <w:jc w:val="both"/>
              <w:rPr>
                <w:rFonts w:ascii="Calibri" w:hAnsi="Calibri" w:cs="Calibri"/>
                <w:color w:val="000000"/>
              </w:rPr>
            </w:pPr>
            <w:r w:rsidRPr="003572A0">
              <w:rPr>
                <w:rFonts w:ascii="Calibri" w:hAnsi="Calibri" w:cs="Calibri"/>
                <w:color w:val="000000"/>
              </w:rPr>
              <w:t>Sensibilisation importante des urbains à la protection de l’environnement mais disparités dans la mobilisation des citoyens.</w:t>
            </w:r>
          </w:p>
          <w:p w:rsidR="00761636" w:rsidRPr="00BC12C6" w:rsidRDefault="00761636" w:rsidP="00761636">
            <w:pPr>
              <w:jc w:val="center"/>
              <w:rPr>
                <w:rFonts w:ascii="Calibri" w:eastAsia="Tahoma" w:hAnsi="Calibri"/>
                <w:szCs w:val="24"/>
              </w:rPr>
            </w:pPr>
          </w:p>
        </w:tc>
        <w:tc>
          <w:tcPr>
            <w:tcW w:w="6997" w:type="dxa"/>
          </w:tcPr>
          <w:p w:rsidR="00761636" w:rsidRPr="00BC12C6" w:rsidRDefault="00761636" w:rsidP="00761636">
            <w:pPr>
              <w:jc w:val="center"/>
              <w:rPr>
                <w:rFonts w:ascii="Calibri" w:eastAsia="Tahoma" w:hAnsi="Calibri"/>
                <w:szCs w:val="24"/>
              </w:rPr>
            </w:pPr>
          </w:p>
        </w:tc>
      </w:tr>
    </w:tbl>
    <w:p w:rsidR="00761636" w:rsidRDefault="00761636" w:rsidP="00ED50CF">
      <w:pPr>
        <w:rPr>
          <w:rFonts w:ascii="Calibri" w:eastAsia="Tahoma" w:hAnsi="Calibri" w:cs="Times New Roman"/>
          <w:b/>
          <w:bCs/>
          <w:iCs/>
          <w:color w:val="009E8D"/>
          <w:sz w:val="24"/>
          <w:szCs w:val="24"/>
          <w:lang w:eastAsia="fr-FR"/>
        </w:rPr>
      </w:pPr>
    </w:p>
    <w:p w:rsidR="003572A0" w:rsidRPr="00ED50CF" w:rsidRDefault="003572A0" w:rsidP="00ED50CF">
      <w:pPr>
        <w:rPr>
          <w:rFonts w:ascii="Calibri" w:eastAsia="Tahoma" w:hAnsi="Calibri" w:cs="Times New Roman"/>
          <w:b/>
          <w:bCs/>
          <w:iCs/>
          <w:color w:val="009E8D"/>
          <w:sz w:val="24"/>
          <w:szCs w:val="24"/>
          <w:lang w:eastAsia="fr-FR"/>
        </w:rPr>
      </w:pPr>
      <w:r w:rsidRPr="00ED50CF">
        <w:rPr>
          <w:rFonts w:ascii="Calibri" w:eastAsia="Tahoma" w:hAnsi="Calibri" w:cs="Times New Roman"/>
          <w:b/>
          <w:bCs/>
          <w:iCs/>
          <w:color w:val="009E8D"/>
          <w:sz w:val="24"/>
          <w:szCs w:val="24"/>
          <w:lang w:eastAsia="fr-FR"/>
        </w:rPr>
        <w:t xml:space="preserve">Quel environnement </w:t>
      </w:r>
      <w:r w:rsidR="00BC12C6" w:rsidRPr="00ED50CF">
        <w:rPr>
          <w:rFonts w:ascii="Calibri" w:eastAsia="Tahoma" w:hAnsi="Calibri" w:cs="Times New Roman"/>
          <w:b/>
          <w:bCs/>
          <w:iCs/>
          <w:color w:val="009E8D"/>
          <w:sz w:val="24"/>
          <w:szCs w:val="24"/>
          <w:lang w:eastAsia="fr-FR"/>
        </w:rPr>
        <w:t>des démarches de contribution sur mon territoire</w:t>
      </w:r>
      <w:r w:rsidRPr="00ED50CF">
        <w:rPr>
          <w:rFonts w:ascii="Calibri" w:eastAsia="Tahoma" w:hAnsi="Calibri" w:cs="Times New Roman"/>
          <w:b/>
          <w:bCs/>
          <w:iCs/>
          <w:color w:val="009E8D"/>
          <w:sz w:val="24"/>
          <w:szCs w:val="24"/>
          <w:lang w:eastAsia="fr-FR"/>
        </w:rPr>
        <w:t> ?</w:t>
      </w:r>
      <w:bookmarkEnd w:id="1"/>
    </w:p>
    <w:p w:rsidR="003572A0" w:rsidRPr="009766BF" w:rsidRDefault="009766BF" w:rsidP="009766BF">
      <w:pPr>
        <w:spacing w:after="120" w:line="240" w:lineRule="auto"/>
        <w:jc w:val="both"/>
        <w:rPr>
          <w:rFonts w:ascii="Calibri" w:eastAsia="Tahoma" w:hAnsi="Calibri" w:cs="Times New Roman"/>
          <w:szCs w:val="24"/>
        </w:rPr>
      </w:pPr>
      <w:r>
        <w:rPr>
          <w:rFonts w:ascii="Calibri" w:eastAsia="Tahoma" w:hAnsi="Calibri" w:cs="Times New Roman"/>
          <w:szCs w:val="24"/>
        </w:rPr>
        <w:t>Votre</w:t>
      </w:r>
      <w:r w:rsidR="003572A0" w:rsidRPr="003572A0">
        <w:rPr>
          <w:rFonts w:ascii="Calibri" w:eastAsia="Tahoma" w:hAnsi="Calibri" w:cs="Times New Roman"/>
          <w:szCs w:val="24"/>
        </w:rPr>
        <w:t xml:space="preserve"> territoire s’inscrit aussi dans un environnement, et subit des influences auxquelles il </w:t>
      </w:r>
      <w:r>
        <w:rPr>
          <w:rFonts w:ascii="Calibri" w:eastAsia="Tahoma" w:hAnsi="Calibri" w:cs="Times New Roman"/>
          <w:szCs w:val="24"/>
        </w:rPr>
        <w:t>est p</w:t>
      </w:r>
      <w:r w:rsidR="003572A0" w:rsidRPr="003572A0">
        <w:rPr>
          <w:rFonts w:ascii="Calibri" w:eastAsia="Tahoma" w:hAnsi="Calibri" w:cs="Times New Roman"/>
          <w:szCs w:val="24"/>
        </w:rPr>
        <w:t>lus ou moins sensible.</w:t>
      </w:r>
      <w:r w:rsidR="009E009B">
        <w:rPr>
          <w:rFonts w:ascii="Calibri" w:eastAsia="Tahoma" w:hAnsi="Calibri" w:cs="Times New Roman"/>
          <w:szCs w:val="24"/>
        </w:rPr>
        <w:t xml:space="preserve"> Ces</w:t>
      </w:r>
      <w:r w:rsidR="003572A0" w:rsidRPr="003572A0">
        <w:rPr>
          <w:rFonts w:ascii="Calibri" w:eastAsia="Tahoma" w:hAnsi="Calibri" w:cs="Times New Roman"/>
          <w:szCs w:val="24"/>
        </w:rPr>
        <w:t xml:space="preserve"> influences (ou variables externes)</w:t>
      </w:r>
      <w:r w:rsidR="009E009B">
        <w:rPr>
          <w:rFonts w:ascii="Calibri" w:eastAsia="Tahoma" w:hAnsi="Calibri" w:cs="Times New Roman"/>
          <w:szCs w:val="24"/>
        </w:rPr>
        <w:t xml:space="preserve"> </w:t>
      </w:r>
      <w:r w:rsidR="003572A0" w:rsidRPr="003572A0">
        <w:rPr>
          <w:rFonts w:ascii="Calibri" w:eastAsia="Tahoma" w:hAnsi="Calibri" w:cs="Times New Roman"/>
          <w:szCs w:val="24"/>
        </w:rPr>
        <w:t xml:space="preserve"> dépendent de </w:t>
      </w:r>
      <w:r>
        <w:rPr>
          <w:rFonts w:ascii="Calibri" w:eastAsia="Tahoma" w:hAnsi="Calibri" w:cs="Times New Roman"/>
          <w:szCs w:val="24"/>
        </w:rPr>
        <w:t>« l’</w:t>
      </w:r>
      <w:r w:rsidR="003572A0" w:rsidRPr="003572A0">
        <w:rPr>
          <w:rFonts w:ascii="Calibri" w:eastAsia="Tahoma" w:hAnsi="Calibri" w:cs="Times New Roman"/>
          <w:szCs w:val="24"/>
        </w:rPr>
        <w:t>environnement extérieur</w:t>
      </w:r>
      <w:r>
        <w:rPr>
          <w:rFonts w:ascii="Calibri" w:eastAsia="Tahoma" w:hAnsi="Calibri" w:cs="Times New Roman"/>
          <w:szCs w:val="24"/>
        </w:rPr>
        <w:t> »</w:t>
      </w:r>
      <w:r w:rsidR="003572A0" w:rsidRPr="003572A0">
        <w:rPr>
          <w:rFonts w:ascii="Calibri" w:eastAsia="Tahoma" w:hAnsi="Calibri" w:cs="Times New Roman"/>
          <w:szCs w:val="24"/>
        </w:rPr>
        <w:t xml:space="preserve"> (la réglementation, le coût de l’énergie, la conjoncture économique, les politiques nationales…).</w:t>
      </w:r>
    </w:p>
    <w:p w:rsidR="003572A0" w:rsidRPr="003572A0" w:rsidRDefault="003572A0" w:rsidP="003572A0">
      <w:pPr>
        <w:spacing w:after="120" w:line="240" w:lineRule="auto"/>
        <w:jc w:val="both"/>
        <w:rPr>
          <w:rFonts w:ascii="Calibri" w:eastAsia="Tahoma" w:hAnsi="Calibri" w:cs="Times New Roman"/>
          <w:szCs w:val="24"/>
        </w:rPr>
      </w:pPr>
      <w:r w:rsidRPr="003572A0">
        <w:rPr>
          <w:rFonts w:ascii="Calibri" w:eastAsia="Tahoma" w:hAnsi="Calibri" w:cs="Times New Roman"/>
          <w:szCs w:val="24"/>
        </w:rPr>
        <w:t>Ainsi, nous distinguons 4 grandes catégories de variables externes qui vont avoir une influence plus ou moins grande sur la contribution à la transition écologique :</w:t>
      </w:r>
    </w:p>
    <w:p w:rsidR="003572A0" w:rsidRPr="003572A0" w:rsidRDefault="003572A0" w:rsidP="003572A0">
      <w:pPr>
        <w:numPr>
          <w:ilvl w:val="0"/>
          <w:numId w:val="4"/>
        </w:numPr>
        <w:tabs>
          <w:tab w:val="left" w:pos="2268"/>
        </w:tabs>
        <w:spacing w:before="120" w:after="120" w:line="240" w:lineRule="auto"/>
        <w:jc w:val="both"/>
        <w:rPr>
          <w:rFonts w:ascii="Calibri" w:eastAsia="Times New Roman" w:hAnsi="Calibri" w:cs="Times New Roman"/>
          <w:szCs w:val="24"/>
        </w:rPr>
      </w:pPr>
      <w:r w:rsidRPr="003572A0">
        <w:rPr>
          <w:rFonts w:ascii="Calibri" w:eastAsia="Times New Roman" w:hAnsi="Calibri" w:cs="Times New Roman"/>
          <w:b/>
          <w:szCs w:val="24"/>
        </w:rPr>
        <w:t>Société et individu</w:t>
      </w:r>
      <w:r w:rsidRPr="003572A0">
        <w:rPr>
          <w:rFonts w:ascii="Calibri" w:eastAsia="Times New Roman" w:hAnsi="Calibri" w:cs="Times New Roman"/>
          <w:szCs w:val="24"/>
        </w:rPr>
        <w:t xml:space="preserve"> (lien social, évolutions démographiques, valeurs collectives) ;</w:t>
      </w:r>
    </w:p>
    <w:p w:rsidR="003572A0" w:rsidRPr="003572A0" w:rsidRDefault="003572A0" w:rsidP="003572A0">
      <w:pPr>
        <w:numPr>
          <w:ilvl w:val="0"/>
          <w:numId w:val="4"/>
        </w:numPr>
        <w:tabs>
          <w:tab w:val="left" w:pos="2268"/>
        </w:tabs>
        <w:spacing w:before="120" w:after="120" w:line="240" w:lineRule="auto"/>
        <w:jc w:val="both"/>
        <w:rPr>
          <w:rFonts w:ascii="Calibri" w:eastAsia="Times New Roman" w:hAnsi="Calibri" w:cs="Times New Roman"/>
          <w:szCs w:val="24"/>
        </w:rPr>
      </w:pPr>
      <w:r w:rsidRPr="003572A0">
        <w:rPr>
          <w:rFonts w:ascii="Calibri" w:eastAsia="Times New Roman" w:hAnsi="Calibri" w:cs="Times New Roman"/>
          <w:b/>
          <w:szCs w:val="24"/>
        </w:rPr>
        <w:t>Économie</w:t>
      </w:r>
      <w:r w:rsidRPr="003572A0">
        <w:rPr>
          <w:rFonts w:ascii="Calibri" w:eastAsia="Times New Roman" w:hAnsi="Calibri" w:cs="Times New Roman"/>
          <w:szCs w:val="24"/>
        </w:rPr>
        <w:t xml:space="preserve"> (l</w:t>
      </w:r>
      <w:r w:rsidRPr="003572A0">
        <w:rPr>
          <w:rFonts w:ascii="Calibri" w:eastAsia="Times New Roman" w:hAnsi="Calibri" w:cs="Times New Roman"/>
          <w:szCs w:val="20"/>
        </w:rPr>
        <w:t>e salarié dans l'entreprise, l</w:t>
      </w:r>
      <w:r w:rsidRPr="003572A0">
        <w:rPr>
          <w:rFonts w:ascii="Calibri" w:eastAsia="Times New Roman" w:hAnsi="Calibri" w:cs="Times New Roman"/>
          <w:szCs w:val="24"/>
        </w:rPr>
        <w:t>ien entre économie et territoire, implication des entreprises dans le développement durable) ;</w:t>
      </w:r>
    </w:p>
    <w:p w:rsidR="003572A0" w:rsidRPr="003572A0" w:rsidRDefault="003572A0" w:rsidP="003572A0">
      <w:pPr>
        <w:numPr>
          <w:ilvl w:val="0"/>
          <w:numId w:val="4"/>
        </w:numPr>
        <w:tabs>
          <w:tab w:val="left" w:pos="2268"/>
        </w:tabs>
        <w:spacing w:before="120" w:after="120" w:line="240" w:lineRule="auto"/>
        <w:jc w:val="both"/>
        <w:rPr>
          <w:rFonts w:ascii="Calibri" w:eastAsia="Times New Roman" w:hAnsi="Calibri" w:cs="Times New Roman"/>
          <w:szCs w:val="24"/>
        </w:rPr>
      </w:pPr>
      <w:r w:rsidRPr="003572A0">
        <w:rPr>
          <w:rFonts w:ascii="Calibri" w:eastAsia="Times New Roman" w:hAnsi="Calibri" w:cs="Times New Roman"/>
          <w:b/>
          <w:szCs w:val="24"/>
        </w:rPr>
        <w:t>Politique</w:t>
      </w:r>
      <w:r w:rsidRPr="003572A0">
        <w:rPr>
          <w:rFonts w:ascii="Calibri" w:eastAsia="Times New Roman" w:hAnsi="Calibri" w:cs="Times New Roman"/>
          <w:szCs w:val="24"/>
        </w:rPr>
        <w:t xml:space="preserve"> (</w:t>
      </w:r>
      <w:r w:rsidRPr="003572A0">
        <w:rPr>
          <w:rFonts w:ascii="Calibri" w:eastAsia="Times New Roman" w:hAnsi="Calibri" w:cs="Times New Roman"/>
          <w:szCs w:val="20"/>
        </w:rPr>
        <w:t>contexte institutionnel, réglementaire, stratégique, c</w:t>
      </w:r>
      <w:r w:rsidRPr="003572A0">
        <w:rPr>
          <w:rFonts w:ascii="Calibri" w:eastAsia="Times New Roman" w:hAnsi="Calibri" w:cs="Times New Roman"/>
          <w:szCs w:val="24"/>
        </w:rPr>
        <w:t>adre de la transition écologique, relations entre types d’acteurs, moyens et capacités d'actions des groupes d'acteurs) ;</w:t>
      </w:r>
    </w:p>
    <w:p w:rsidR="003572A0" w:rsidRPr="003572A0" w:rsidRDefault="003572A0" w:rsidP="003572A0">
      <w:pPr>
        <w:numPr>
          <w:ilvl w:val="0"/>
          <w:numId w:val="4"/>
        </w:numPr>
        <w:tabs>
          <w:tab w:val="left" w:pos="2268"/>
        </w:tabs>
        <w:spacing w:before="120" w:after="120" w:line="240" w:lineRule="auto"/>
        <w:jc w:val="both"/>
        <w:rPr>
          <w:rFonts w:ascii="Calibri" w:eastAsia="Times New Roman" w:hAnsi="Calibri" w:cs="Times New Roman"/>
          <w:szCs w:val="24"/>
        </w:rPr>
      </w:pPr>
      <w:r w:rsidRPr="003572A0">
        <w:rPr>
          <w:rFonts w:ascii="Calibri" w:eastAsia="Times New Roman" w:hAnsi="Calibri" w:cs="Times New Roman"/>
          <w:b/>
          <w:szCs w:val="24"/>
        </w:rPr>
        <w:t>Techno-sciences et connaissance</w:t>
      </w:r>
      <w:r w:rsidRPr="003572A0">
        <w:rPr>
          <w:rFonts w:ascii="Calibri" w:eastAsia="Times New Roman" w:hAnsi="Calibri" w:cs="Times New Roman"/>
          <w:szCs w:val="24"/>
        </w:rPr>
        <w:t xml:space="preserve"> (éducation, savoir-faire, usages du numérique, logiques d'innovation, méthodes et outils d’intelligence collective)</w:t>
      </w:r>
    </w:p>
    <w:p w:rsidR="003572A0" w:rsidRPr="003572A0" w:rsidRDefault="003572A0" w:rsidP="003572A0">
      <w:pPr>
        <w:spacing w:after="120" w:line="240" w:lineRule="auto"/>
        <w:jc w:val="both"/>
        <w:rPr>
          <w:rFonts w:ascii="Calibri" w:eastAsia="Tahoma" w:hAnsi="Calibri" w:cs="Times New Roman"/>
          <w:szCs w:val="24"/>
        </w:rPr>
      </w:pPr>
    </w:p>
    <w:p w:rsidR="003572A0" w:rsidRPr="003572A0" w:rsidRDefault="003572A0" w:rsidP="003572A0">
      <w:pPr>
        <w:spacing w:after="120" w:line="240" w:lineRule="auto"/>
        <w:jc w:val="both"/>
        <w:rPr>
          <w:rFonts w:ascii="Calibri" w:eastAsia="Tahoma" w:hAnsi="Calibri" w:cs="Times New Roman"/>
          <w:szCs w:val="24"/>
        </w:rPr>
      </w:pPr>
      <w:r w:rsidRPr="003572A0">
        <w:rPr>
          <w:rFonts w:ascii="Calibri" w:eastAsia="Tahoma" w:hAnsi="Calibri" w:cs="Times New Roman"/>
          <w:szCs w:val="24"/>
        </w:rPr>
        <w:t>La manière dont ces catégories (ou « variables ») vont évoluer dans le temps aura une influence sur l’organisation de la contribution à la transition écologique, et sur son efficacité.</w:t>
      </w:r>
    </w:p>
    <w:p w:rsidR="003572A0" w:rsidRPr="003572A0" w:rsidRDefault="003572A0" w:rsidP="003572A0">
      <w:pPr>
        <w:spacing w:after="0" w:line="240" w:lineRule="auto"/>
        <w:jc w:val="both"/>
        <w:rPr>
          <w:rFonts w:ascii="Calibri" w:eastAsia="Tahoma" w:hAnsi="Calibri" w:cs="Times New Roman"/>
          <w:szCs w:val="24"/>
        </w:rPr>
      </w:pPr>
    </w:p>
    <w:p w:rsidR="003572A0" w:rsidRPr="003572A0" w:rsidRDefault="003572A0" w:rsidP="003572A0">
      <w:pPr>
        <w:spacing w:after="0" w:line="240" w:lineRule="auto"/>
        <w:jc w:val="both"/>
        <w:rPr>
          <w:rFonts w:ascii="Calibri" w:eastAsia="Tahoma" w:hAnsi="Calibri" w:cs="Times New Roman"/>
          <w:szCs w:val="24"/>
        </w:rPr>
      </w:pPr>
      <w:r w:rsidRPr="003572A0">
        <w:rPr>
          <w:rFonts w:ascii="Calibri" w:eastAsia="Tahoma" w:hAnsi="Calibri" w:cs="Times New Roman"/>
          <w:szCs w:val="24"/>
        </w:rPr>
        <w:t>Pour chacune de ces variables, il paraît donc important de s’accorder sur la situation actuelle de l’environnement des démarches.</w:t>
      </w:r>
      <w:r w:rsidR="009766BF">
        <w:rPr>
          <w:rFonts w:ascii="Calibri" w:eastAsia="Tahoma" w:hAnsi="Calibri" w:cs="Times New Roman"/>
          <w:szCs w:val="24"/>
        </w:rPr>
        <w:t xml:space="preserve"> Vous pouvez directement compléter la colonne se référant à votre territoire.</w:t>
      </w:r>
    </w:p>
    <w:tbl>
      <w:tblPr>
        <w:tblW w:w="5000" w:type="pct"/>
        <w:tblBorders>
          <w:top w:val="single" w:sz="12" w:space="0" w:color="385D8A"/>
          <w:left w:val="single" w:sz="12" w:space="0" w:color="385D8A"/>
          <w:bottom w:val="single" w:sz="12" w:space="0" w:color="385D8A"/>
          <w:right w:val="single" w:sz="12" w:space="0" w:color="385D8A"/>
          <w:insideH w:val="single" w:sz="12" w:space="0" w:color="385D8A"/>
          <w:insideV w:val="single" w:sz="12" w:space="0" w:color="385D8A"/>
        </w:tblBorders>
        <w:tblLayout w:type="fixed"/>
        <w:tblCellMar>
          <w:left w:w="0" w:type="dxa"/>
          <w:right w:w="0" w:type="dxa"/>
        </w:tblCellMar>
        <w:tblLook w:val="0600" w:firstRow="0" w:lastRow="0" w:firstColumn="0" w:lastColumn="0" w:noHBand="1" w:noVBand="1"/>
      </w:tblPr>
      <w:tblGrid>
        <w:gridCol w:w="1260"/>
        <w:gridCol w:w="1280"/>
        <w:gridCol w:w="2264"/>
        <w:gridCol w:w="2552"/>
        <w:gridCol w:w="3262"/>
        <w:gridCol w:w="3357"/>
      </w:tblGrid>
      <w:tr w:rsidR="0073309E" w:rsidRPr="0073309E" w:rsidTr="00ED50CF">
        <w:trPr>
          <w:trHeight w:val="298"/>
        </w:trPr>
        <w:tc>
          <w:tcPr>
            <w:tcW w:w="909" w:type="pct"/>
            <w:gridSpan w:val="2"/>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b/>
                <w:sz w:val="20"/>
                <w:szCs w:val="24"/>
              </w:rPr>
            </w:pPr>
          </w:p>
        </w:tc>
        <w:tc>
          <w:tcPr>
            <w:tcW w:w="1723" w:type="pct"/>
            <w:gridSpan w:val="2"/>
            <w:shd w:val="clear" w:color="auto" w:fill="C6D5E8"/>
            <w:tcMar>
              <w:top w:w="3" w:type="dxa"/>
              <w:left w:w="3" w:type="dxa"/>
              <w:bottom w:w="0" w:type="dxa"/>
              <w:right w:w="3" w:type="dxa"/>
            </w:tcMar>
            <w:vAlign w:val="center"/>
            <w:hideMark/>
          </w:tcPr>
          <w:p w:rsidR="00B040FF" w:rsidRPr="003572A0" w:rsidRDefault="00B040FF" w:rsidP="00B040FF">
            <w:pPr>
              <w:spacing w:after="0" w:line="240" w:lineRule="auto"/>
              <w:jc w:val="center"/>
              <w:rPr>
                <w:rFonts w:ascii="Calibri" w:eastAsia="Tahoma" w:hAnsi="Calibri" w:cs="Times New Roman"/>
                <w:b/>
                <w:sz w:val="20"/>
                <w:szCs w:val="24"/>
              </w:rPr>
            </w:pPr>
            <w:r w:rsidRPr="0073309E">
              <w:rPr>
                <w:rFonts w:ascii="Calibri" w:eastAsia="Tahoma" w:hAnsi="Calibri" w:cs="Times New Roman"/>
                <w:b/>
                <w:sz w:val="20"/>
                <w:szCs w:val="24"/>
              </w:rPr>
              <w:t>Au niveau national</w:t>
            </w:r>
          </w:p>
        </w:tc>
        <w:tc>
          <w:tcPr>
            <w:tcW w:w="1167" w:type="pct"/>
            <w:vMerge w:val="restart"/>
            <w:shd w:val="clear" w:color="auto" w:fill="C6D5E8"/>
            <w:vAlign w:val="center"/>
          </w:tcPr>
          <w:p w:rsidR="00B040FF" w:rsidRPr="0073309E" w:rsidRDefault="00B040FF" w:rsidP="0073309E">
            <w:pPr>
              <w:spacing w:after="0" w:line="240" w:lineRule="auto"/>
              <w:jc w:val="center"/>
              <w:rPr>
                <w:rFonts w:ascii="Calibri" w:eastAsia="Tahoma" w:hAnsi="Calibri" w:cs="Times New Roman"/>
                <w:b/>
                <w:sz w:val="20"/>
                <w:szCs w:val="24"/>
              </w:rPr>
            </w:pPr>
            <w:r w:rsidRPr="0073309E">
              <w:rPr>
                <w:rFonts w:ascii="Calibri" w:eastAsia="Tahoma" w:hAnsi="Calibri" w:cs="Times New Roman"/>
                <w:b/>
                <w:sz w:val="20"/>
                <w:szCs w:val="24"/>
              </w:rPr>
              <w:t xml:space="preserve">Particularités </w:t>
            </w:r>
            <w:r w:rsidR="00E71E1D">
              <w:rPr>
                <w:rFonts w:ascii="Calibri" w:eastAsia="Tahoma" w:hAnsi="Calibri" w:cs="Times New Roman"/>
                <w:b/>
                <w:sz w:val="20"/>
                <w:szCs w:val="24"/>
              </w:rPr>
              <w:t>Île-de-France</w:t>
            </w:r>
          </w:p>
        </w:tc>
        <w:tc>
          <w:tcPr>
            <w:tcW w:w="1201" w:type="pct"/>
            <w:vMerge w:val="restart"/>
            <w:shd w:val="clear" w:color="auto" w:fill="C6D5E8"/>
            <w:vAlign w:val="center"/>
          </w:tcPr>
          <w:p w:rsidR="00B040FF" w:rsidRPr="0073309E" w:rsidRDefault="00B040FF" w:rsidP="009E619F">
            <w:pPr>
              <w:spacing w:after="0" w:line="240" w:lineRule="auto"/>
              <w:jc w:val="center"/>
              <w:rPr>
                <w:rFonts w:ascii="Calibri" w:eastAsia="Tahoma" w:hAnsi="Calibri" w:cs="Times New Roman"/>
                <w:b/>
                <w:sz w:val="20"/>
                <w:szCs w:val="24"/>
              </w:rPr>
            </w:pPr>
            <w:r w:rsidRPr="0073309E">
              <w:rPr>
                <w:rFonts w:ascii="Calibri" w:eastAsia="Tahoma" w:hAnsi="Calibri" w:cs="Times New Roman"/>
                <w:b/>
                <w:sz w:val="20"/>
                <w:szCs w:val="24"/>
              </w:rPr>
              <w:t xml:space="preserve">Particularités </w:t>
            </w:r>
            <w:r w:rsidR="009E619F">
              <w:rPr>
                <w:rFonts w:ascii="Calibri" w:eastAsia="Tahoma" w:hAnsi="Calibri" w:cs="Times New Roman"/>
                <w:b/>
                <w:sz w:val="20"/>
                <w:szCs w:val="24"/>
              </w:rPr>
              <w:t>de votre territoire</w:t>
            </w:r>
          </w:p>
        </w:tc>
      </w:tr>
      <w:tr w:rsidR="0073309E" w:rsidRPr="0073309E" w:rsidTr="00ED50CF">
        <w:trPr>
          <w:trHeight w:val="298"/>
        </w:trPr>
        <w:tc>
          <w:tcPr>
            <w:tcW w:w="909" w:type="pct"/>
            <w:gridSpan w:val="2"/>
            <w:shd w:val="clear" w:color="auto" w:fill="auto"/>
            <w:tcMar>
              <w:top w:w="3" w:type="dxa"/>
              <w:left w:w="3" w:type="dxa"/>
              <w:bottom w:w="0" w:type="dxa"/>
              <w:right w:w="3" w:type="dxa"/>
            </w:tcMar>
            <w:vAlign w:val="center"/>
          </w:tcPr>
          <w:p w:rsidR="00B040FF" w:rsidRPr="0073309E" w:rsidRDefault="00B040FF" w:rsidP="003572A0">
            <w:pPr>
              <w:spacing w:after="0" w:line="240" w:lineRule="auto"/>
              <w:jc w:val="center"/>
              <w:rPr>
                <w:rFonts w:ascii="Calibri" w:eastAsia="Tahoma" w:hAnsi="Calibri" w:cs="Times New Roman"/>
                <w:b/>
                <w:iCs/>
                <w:color w:val="385D8A"/>
                <w:sz w:val="20"/>
                <w:szCs w:val="24"/>
              </w:rPr>
            </w:pPr>
            <w:r w:rsidRPr="003572A0">
              <w:rPr>
                <w:rFonts w:ascii="Calibri" w:eastAsia="Tahoma" w:hAnsi="Calibri" w:cs="Times New Roman"/>
                <w:b/>
                <w:iCs/>
                <w:color w:val="385D8A"/>
                <w:sz w:val="20"/>
                <w:szCs w:val="24"/>
              </w:rPr>
              <w:t>Variables externes</w:t>
            </w:r>
          </w:p>
        </w:tc>
        <w:tc>
          <w:tcPr>
            <w:tcW w:w="810" w:type="pct"/>
            <w:shd w:val="clear" w:color="auto" w:fill="C6D5E8"/>
            <w:tcMar>
              <w:top w:w="3" w:type="dxa"/>
              <w:left w:w="3" w:type="dxa"/>
              <w:bottom w:w="0" w:type="dxa"/>
              <w:right w:w="3" w:type="dxa"/>
            </w:tcMar>
            <w:vAlign w:val="center"/>
          </w:tcPr>
          <w:p w:rsidR="00B040FF" w:rsidRPr="0073309E" w:rsidRDefault="00B040FF" w:rsidP="003572A0">
            <w:pPr>
              <w:spacing w:after="0" w:line="240" w:lineRule="auto"/>
              <w:jc w:val="center"/>
              <w:rPr>
                <w:rFonts w:ascii="Calibri" w:eastAsia="Tahoma" w:hAnsi="Calibri" w:cs="Times New Roman"/>
                <w:b/>
                <w:iCs/>
                <w:sz w:val="20"/>
                <w:szCs w:val="24"/>
              </w:rPr>
            </w:pPr>
            <w:r w:rsidRPr="003572A0">
              <w:rPr>
                <w:rFonts w:ascii="Calibri" w:eastAsia="Tahoma" w:hAnsi="Calibri" w:cs="Times New Roman"/>
                <w:b/>
                <w:iCs/>
                <w:sz w:val="20"/>
                <w:szCs w:val="24"/>
              </w:rPr>
              <w:t>Tendances lourdes</w:t>
            </w:r>
          </w:p>
        </w:tc>
        <w:tc>
          <w:tcPr>
            <w:tcW w:w="913" w:type="pct"/>
            <w:tcBorders>
              <w:bottom w:val="single" w:sz="12" w:space="0" w:color="385D8A"/>
            </w:tcBorders>
            <w:shd w:val="clear" w:color="auto" w:fill="AAD6E0"/>
            <w:tcMar>
              <w:top w:w="3" w:type="dxa"/>
              <w:left w:w="3" w:type="dxa"/>
              <w:bottom w:w="0" w:type="dxa"/>
              <w:right w:w="3" w:type="dxa"/>
            </w:tcMar>
            <w:vAlign w:val="center"/>
          </w:tcPr>
          <w:p w:rsidR="00B040FF" w:rsidRPr="0073309E" w:rsidRDefault="00B040FF" w:rsidP="003572A0">
            <w:pPr>
              <w:spacing w:after="0" w:line="240" w:lineRule="auto"/>
              <w:jc w:val="center"/>
              <w:rPr>
                <w:rFonts w:ascii="Calibri" w:eastAsia="Tahoma" w:hAnsi="Calibri" w:cs="Times New Roman"/>
                <w:b/>
                <w:iCs/>
                <w:sz w:val="20"/>
                <w:szCs w:val="24"/>
              </w:rPr>
            </w:pPr>
            <w:r w:rsidRPr="003572A0">
              <w:rPr>
                <w:rFonts w:ascii="Calibri" w:eastAsia="Tahoma" w:hAnsi="Calibri" w:cs="Times New Roman"/>
                <w:b/>
                <w:iCs/>
                <w:sz w:val="20"/>
                <w:szCs w:val="24"/>
              </w:rPr>
              <w:t>Signaux faibles / faits émergents</w:t>
            </w:r>
          </w:p>
        </w:tc>
        <w:tc>
          <w:tcPr>
            <w:tcW w:w="1167" w:type="pct"/>
            <w:vMerge/>
            <w:tcBorders>
              <w:bottom w:val="single" w:sz="12" w:space="0" w:color="385D8A"/>
            </w:tcBorders>
            <w:shd w:val="clear" w:color="auto" w:fill="AAD6E0"/>
            <w:vAlign w:val="center"/>
          </w:tcPr>
          <w:p w:rsidR="00B040FF" w:rsidRPr="0073309E" w:rsidRDefault="00B040FF" w:rsidP="0073309E">
            <w:pPr>
              <w:spacing w:after="0" w:line="240" w:lineRule="auto"/>
              <w:rPr>
                <w:rFonts w:ascii="Calibri" w:eastAsia="Tahoma" w:hAnsi="Calibri" w:cs="Times New Roman"/>
                <w:b/>
                <w:iCs/>
                <w:sz w:val="20"/>
                <w:szCs w:val="24"/>
              </w:rPr>
            </w:pPr>
          </w:p>
        </w:tc>
        <w:tc>
          <w:tcPr>
            <w:tcW w:w="1201" w:type="pct"/>
            <w:vMerge/>
            <w:tcBorders>
              <w:bottom w:val="single" w:sz="12" w:space="0" w:color="385D8A"/>
            </w:tcBorders>
            <w:shd w:val="clear" w:color="auto" w:fill="AAD6E0"/>
          </w:tcPr>
          <w:p w:rsidR="00B040FF" w:rsidRPr="0073309E" w:rsidRDefault="00B040FF" w:rsidP="0073309E">
            <w:pPr>
              <w:spacing w:after="0" w:line="240" w:lineRule="auto"/>
              <w:rPr>
                <w:rFonts w:ascii="Calibri" w:eastAsia="Tahoma" w:hAnsi="Calibri" w:cs="Times New Roman"/>
                <w:b/>
                <w:iCs/>
                <w:sz w:val="20"/>
                <w:szCs w:val="24"/>
              </w:rPr>
            </w:pPr>
          </w:p>
        </w:tc>
      </w:tr>
      <w:tr w:rsidR="0073309E" w:rsidRPr="0073309E" w:rsidTr="00ED50CF">
        <w:trPr>
          <w:trHeight w:val="1196"/>
        </w:trPr>
        <w:tc>
          <w:tcPr>
            <w:tcW w:w="451" w:type="pct"/>
            <w:vMerge w:val="restar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b/>
                <w:bCs/>
                <w:iCs/>
                <w:color w:val="385D8A"/>
                <w:sz w:val="20"/>
                <w:szCs w:val="24"/>
              </w:rPr>
              <w:t>Société et individu</w:t>
            </w: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E5664E">
              <w:rPr>
                <w:rFonts w:ascii="Calibri" w:eastAsia="Tahoma" w:hAnsi="Calibri" w:cs="Times New Roman"/>
                <w:i/>
                <w:iCs/>
                <w:color w:val="385D8A"/>
                <w:sz w:val="18"/>
                <w:szCs w:val="24"/>
              </w:rPr>
              <w:t>Évolutions démographiques</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Vieillissement de la population</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Renforcement des migrations interrégionales</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spacing w:after="0" w:line="240" w:lineRule="auto"/>
              <w:rPr>
                <w:rFonts w:ascii="Calibri" w:eastAsia="Tahoma" w:hAnsi="Calibri" w:cs="Times New Roman"/>
                <w:sz w:val="20"/>
                <w:szCs w:val="24"/>
              </w:rPr>
            </w:pPr>
            <w:r w:rsidRPr="003572A0">
              <w:rPr>
                <w:rFonts w:ascii="Calibri" w:eastAsia="Tahoma" w:hAnsi="Calibri" w:cs="Times New Roman"/>
                <w:sz w:val="20"/>
                <w:szCs w:val="24"/>
              </w:rPr>
              <w:t>Accroissement des migrations quotidiennes et du virtuel, recul de l’ancrage au territoire</w:t>
            </w:r>
          </w:p>
        </w:tc>
        <w:tc>
          <w:tcPr>
            <w:tcW w:w="1167" w:type="pct"/>
            <w:vMerge w:val="restart"/>
            <w:shd w:val="clear" w:color="auto" w:fill="DEEEF2"/>
            <w:vAlign w:val="center"/>
          </w:tcPr>
          <w:p w:rsidR="00B040FF" w:rsidRPr="003572A0" w:rsidRDefault="00B040FF" w:rsidP="0073309E">
            <w:pPr>
              <w:numPr>
                <w:ilvl w:val="0"/>
                <w:numId w:val="7"/>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Une population jeune et cosmopolite : 11 978 000 habitants en Île-de-France (INSEE, estimation au 1</w:t>
            </w:r>
            <w:r w:rsidRPr="003572A0">
              <w:rPr>
                <w:rFonts w:ascii="Calibri" w:eastAsia="Calibri" w:hAnsi="Calibri" w:cs="Calibri"/>
                <w:color w:val="000000"/>
                <w:sz w:val="20"/>
                <w:szCs w:val="20"/>
                <w:vertAlign w:val="superscript"/>
                <w:lang w:eastAsia="fr-FR"/>
              </w:rPr>
              <w:t>er</w:t>
            </w:r>
            <w:r w:rsidRPr="003572A0">
              <w:rPr>
                <w:rFonts w:ascii="Calibri" w:eastAsia="Calibri" w:hAnsi="Calibri" w:cs="Calibri"/>
                <w:color w:val="000000"/>
                <w:sz w:val="20"/>
                <w:szCs w:val="20"/>
                <w:lang w:eastAsia="fr-FR"/>
              </w:rPr>
              <w:t xml:space="preserve"> janvier 2013) une population plus jeune que la moyenne nationale et 32 % des personnes arrivant de l’étranger qui s’installent en Île-de-France</w:t>
            </w:r>
            <w:r w:rsidRPr="0073309E">
              <w:rPr>
                <w:rFonts w:ascii="Calibri" w:eastAsia="Calibri" w:hAnsi="Calibri" w:cs="Calibri"/>
                <w:color w:val="000000"/>
                <w:sz w:val="20"/>
                <w:szCs w:val="20"/>
                <w:vertAlign w:val="superscript"/>
                <w:lang w:eastAsia="fr-FR"/>
              </w:rPr>
              <w:footnoteReference w:id="1"/>
            </w:r>
            <w:r w:rsidRPr="003572A0">
              <w:rPr>
                <w:rFonts w:ascii="Calibri" w:eastAsia="Calibri" w:hAnsi="Calibri" w:cs="Calibri"/>
                <w:color w:val="000000"/>
                <w:sz w:val="20"/>
                <w:szCs w:val="20"/>
                <w:lang w:eastAsia="fr-FR"/>
              </w:rPr>
              <w:t>.</w:t>
            </w:r>
          </w:p>
          <w:p w:rsidR="00B040FF" w:rsidRPr="003572A0" w:rsidRDefault="00B040FF" w:rsidP="0073309E">
            <w:pPr>
              <w:numPr>
                <w:ilvl w:val="0"/>
                <w:numId w:val="7"/>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Une population qui va augmenter.</w:t>
            </w:r>
          </w:p>
          <w:p w:rsidR="00B040FF" w:rsidRPr="003572A0" w:rsidRDefault="00B040FF" w:rsidP="0073309E">
            <w:pPr>
              <w:numPr>
                <w:ilvl w:val="0"/>
                <w:numId w:val="7"/>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Un nombre important d’initiatives en lien avec l’économie collaborative (cf. OuiShare).</w:t>
            </w:r>
          </w:p>
          <w:p w:rsidR="00B040FF" w:rsidRPr="003572A0" w:rsidRDefault="00B040FF" w:rsidP="0073309E">
            <w:pPr>
              <w:numPr>
                <w:ilvl w:val="0"/>
                <w:numId w:val="7"/>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Un territoire de transition « contraint » pour des motifs professionnels / lieu de passage notamment pour les cadres de la fonction publique.</w:t>
            </w:r>
          </w:p>
          <w:p w:rsidR="00B040FF" w:rsidRPr="003572A0" w:rsidRDefault="00B040FF" w:rsidP="0073309E">
            <w:pPr>
              <w:numPr>
                <w:ilvl w:val="0"/>
                <w:numId w:val="7"/>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Les fortes variations et différences entre territoires franciliens interrogent sur la possibilité d’une identité régionale commune : quel partage de valeurs collectives par les Franciliens ?</w:t>
            </w:r>
          </w:p>
          <w:p w:rsidR="00B040FF" w:rsidRPr="003572A0" w:rsidRDefault="00B040FF" w:rsidP="0073309E">
            <w:pPr>
              <w:numPr>
                <w:ilvl w:val="0"/>
                <w:numId w:val="7"/>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Déconnexion entre le lieu de travail et lieu de vie (ex. de l’Oise).</w:t>
            </w:r>
          </w:p>
          <w:p w:rsidR="00B040FF" w:rsidRPr="003572A0" w:rsidRDefault="00B040FF" w:rsidP="0073309E">
            <w:pPr>
              <w:numPr>
                <w:ilvl w:val="0"/>
                <w:numId w:val="7"/>
              </w:numPr>
              <w:autoSpaceDE w:val="0"/>
              <w:autoSpaceDN w:val="0"/>
              <w:adjustRightInd w:val="0"/>
              <w:spacing w:before="120" w:after="120" w:line="240" w:lineRule="auto"/>
              <w:ind w:left="337"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Moins d’informel entre les individus (éclatement lieux de vie / lieux de travail).</w:t>
            </w:r>
          </w:p>
          <w:p w:rsidR="00B040FF" w:rsidRPr="003572A0" w:rsidRDefault="00B040FF" w:rsidP="0073309E">
            <w:pPr>
              <w:numPr>
                <w:ilvl w:val="0"/>
                <w:numId w:val="7"/>
              </w:numPr>
              <w:autoSpaceDE w:val="0"/>
              <w:autoSpaceDN w:val="0"/>
              <w:adjustRightInd w:val="0"/>
              <w:spacing w:before="120" w:after="120" w:line="240" w:lineRule="auto"/>
              <w:ind w:left="337"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Fortes différences sociales et spatiales.</w:t>
            </w:r>
          </w:p>
          <w:p w:rsidR="00B040FF" w:rsidRPr="003572A0" w:rsidRDefault="00B040FF" w:rsidP="0073309E">
            <w:pPr>
              <w:numPr>
                <w:ilvl w:val="0"/>
                <w:numId w:val="7"/>
              </w:numPr>
              <w:autoSpaceDE w:val="0"/>
              <w:autoSpaceDN w:val="0"/>
              <w:adjustRightInd w:val="0"/>
              <w:spacing w:before="120" w:after="120" w:line="240" w:lineRule="auto"/>
              <w:ind w:left="337"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Difficultés de mobiliser les acteurs sur le long terme.</w:t>
            </w:r>
          </w:p>
          <w:p w:rsidR="00B040FF" w:rsidRPr="003572A0" w:rsidRDefault="00B040FF" w:rsidP="0073309E">
            <w:pPr>
              <w:numPr>
                <w:ilvl w:val="0"/>
                <w:numId w:val="7"/>
              </w:numPr>
              <w:autoSpaceDE w:val="0"/>
              <w:autoSpaceDN w:val="0"/>
              <w:adjustRightInd w:val="0"/>
              <w:spacing w:before="120" w:after="0" w:line="240" w:lineRule="auto"/>
              <w:ind w:left="337"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Problème d’appartenance / volonté d’implication moindre ?</w:t>
            </w:r>
          </w:p>
          <w:p w:rsidR="00B040FF" w:rsidRPr="0073309E" w:rsidRDefault="00B040FF" w:rsidP="0073309E">
            <w:pPr>
              <w:spacing w:after="0" w:line="240" w:lineRule="auto"/>
              <w:rPr>
                <w:rFonts w:ascii="Calibri" w:eastAsia="Tahoma" w:hAnsi="Calibri" w:cs="Times New Roman"/>
                <w:sz w:val="20"/>
                <w:szCs w:val="24"/>
              </w:rPr>
            </w:pPr>
          </w:p>
        </w:tc>
        <w:tc>
          <w:tcPr>
            <w:tcW w:w="1201" w:type="pct"/>
            <w:shd w:val="clear" w:color="auto" w:fill="DEEEF2"/>
          </w:tcPr>
          <w:p w:rsidR="00B040FF" w:rsidRPr="0073309E" w:rsidRDefault="00B040FF" w:rsidP="0073309E">
            <w:pPr>
              <w:spacing w:after="0" w:line="240" w:lineRule="auto"/>
              <w:rPr>
                <w:rFonts w:ascii="Calibri" w:eastAsia="Tahoma" w:hAnsi="Calibri" w:cs="Times New Roman"/>
                <w:sz w:val="20"/>
                <w:szCs w:val="24"/>
              </w:rPr>
            </w:pPr>
          </w:p>
        </w:tc>
      </w:tr>
      <w:tr w:rsidR="0073309E" w:rsidRPr="0073309E" w:rsidTr="00ED50CF">
        <w:trPr>
          <w:trHeight w:val="885"/>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Lien social</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 xml:space="preserve">Dégradation du lien social, dans un contexte de crise démocratique et économique </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Dissociation entre les "inclus" et les "exclus"</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Tendance à la différenciation croissante entre les territoires</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Individuation et multi-appartenances</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spacing w:after="0" w:line="240" w:lineRule="auto"/>
              <w:rPr>
                <w:rFonts w:ascii="Calibri" w:eastAsia="Tahoma" w:hAnsi="Calibri" w:cs="Times New Roman"/>
                <w:sz w:val="20"/>
                <w:szCs w:val="24"/>
              </w:rPr>
            </w:pPr>
            <w:r w:rsidRPr="003572A0">
              <w:rPr>
                <w:rFonts w:ascii="Calibri" w:eastAsia="Tahoma" w:hAnsi="Calibri" w:cs="Times New Roman"/>
                <w:sz w:val="20"/>
                <w:szCs w:val="24"/>
              </w:rPr>
              <w:t>Risque de rupture sociale et territoriale majeure lié à la fragilisation du modèle social français</w:t>
            </w:r>
          </w:p>
        </w:tc>
        <w:tc>
          <w:tcPr>
            <w:tcW w:w="1167" w:type="pct"/>
            <w:vMerge/>
            <w:shd w:val="clear" w:color="auto" w:fill="DEEEF2"/>
          </w:tcPr>
          <w:p w:rsidR="00B040FF" w:rsidRPr="0073309E" w:rsidRDefault="00B040FF" w:rsidP="0073309E">
            <w:pPr>
              <w:spacing w:after="0" w:line="240" w:lineRule="auto"/>
              <w:rPr>
                <w:rFonts w:ascii="Calibri" w:eastAsia="Tahoma" w:hAnsi="Calibri" w:cs="Times New Roman"/>
                <w:sz w:val="20"/>
                <w:szCs w:val="24"/>
              </w:rPr>
            </w:pPr>
          </w:p>
        </w:tc>
        <w:tc>
          <w:tcPr>
            <w:tcW w:w="1201" w:type="pct"/>
            <w:shd w:val="clear" w:color="auto" w:fill="DEEEF2"/>
          </w:tcPr>
          <w:p w:rsidR="00B040FF" w:rsidRPr="0073309E" w:rsidRDefault="00B040FF" w:rsidP="0073309E">
            <w:pPr>
              <w:spacing w:after="0" w:line="240" w:lineRule="auto"/>
              <w:rPr>
                <w:rFonts w:ascii="Calibri" w:eastAsia="Tahoma" w:hAnsi="Calibri" w:cs="Times New Roman"/>
                <w:sz w:val="20"/>
                <w:szCs w:val="24"/>
              </w:rPr>
            </w:pPr>
          </w:p>
        </w:tc>
      </w:tr>
      <w:tr w:rsidR="0073309E" w:rsidRPr="0073309E" w:rsidTr="00ED50CF">
        <w:trPr>
          <w:trHeight w:val="592"/>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Valeurs collectives</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Société de plus en plus individualiste et coopérative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Attention croissante apportée à l'individu</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Redéfinition de la notion d'intérêt général (tient de plus en plus compte de l'intérêt de groupes constitués, localement ou non)</w:t>
            </w:r>
          </w:p>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Sensibilité croissante envers l’environnement</w:t>
            </w:r>
          </w:p>
        </w:tc>
        <w:tc>
          <w:tcPr>
            <w:tcW w:w="1167" w:type="pct"/>
            <w:vMerge/>
            <w:shd w:val="clear" w:color="auto" w:fill="DEEEF2"/>
          </w:tcPr>
          <w:p w:rsidR="00B040FF" w:rsidRPr="0073309E" w:rsidRDefault="00B040FF" w:rsidP="0073309E">
            <w:pPr>
              <w:tabs>
                <w:tab w:val="left" w:pos="2268"/>
              </w:tabs>
              <w:spacing w:before="120" w:after="0" w:line="240" w:lineRule="auto"/>
              <w:rPr>
                <w:rFonts w:ascii="Calibri" w:eastAsia="Times New Roman" w:hAnsi="Calibri" w:cs="Times New Roman"/>
                <w:sz w:val="20"/>
                <w:szCs w:val="24"/>
              </w:rPr>
            </w:pPr>
          </w:p>
        </w:tc>
        <w:tc>
          <w:tcPr>
            <w:tcW w:w="1201" w:type="pct"/>
            <w:shd w:val="clear" w:color="auto" w:fill="DEEEF2"/>
          </w:tcPr>
          <w:p w:rsidR="00B040FF" w:rsidRPr="0073309E" w:rsidRDefault="00B040FF" w:rsidP="0073309E">
            <w:pPr>
              <w:tabs>
                <w:tab w:val="left" w:pos="2268"/>
              </w:tabs>
              <w:spacing w:before="120" w:after="0" w:line="240" w:lineRule="auto"/>
              <w:rPr>
                <w:rFonts w:ascii="Calibri" w:eastAsia="Times New Roman" w:hAnsi="Calibri" w:cs="Times New Roman"/>
                <w:sz w:val="20"/>
                <w:szCs w:val="24"/>
              </w:rPr>
            </w:pPr>
          </w:p>
        </w:tc>
      </w:tr>
      <w:tr w:rsidR="0073309E" w:rsidRPr="0073309E" w:rsidTr="00ED50CF">
        <w:trPr>
          <w:trHeight w:val="885"/>
        </w:trPr>
        <w:tc>
          <w:tcPr>
            <w:tcW w:w="451" w:type="pct"/>
            <w:vMerge w:val="restar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b/>
                <w:bCs/>
                <w:iCs/>
                <w:color w:val="385D8A"/>
                <w:sz w:val="20"/>
                <w:szCs w:val="24"/>
              </w:rPr>
              <w:t>Techno- sciences et connaissance</w:t>
            </w: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Éducation</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Tendance à la dégradation du niveau global d'éducation, et situations croissantes d'exclusion</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Inadéquation croissante du système éducatif avec les besoins en compétences</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26" w:hanging="142"/>
              <w:rPr>
                <w:rFonts w:ascii="Calibri" w:eastAsia="Times New Roman" w:hAnsi="Calibri" w:cs="Times New Roman"/>
                <w:sz w:val="20"/>
                <w:szCs w:val="24"/>
              </w:rPr>
            </w:pPr>
            <w:r w:rsidRPr="003572A0">
              <w:rPr>
                <w:rFonts w:ascii="Calibri" w:eastAsia="Times New Roman" w:hAnsi="Calibri" w:cs="Times New Roman"/>
                <w:sz w:val="20"/>
                <w:szCs w:val="24"/>
              </w:rPr>
              <w:t xml:space="preserve">Renforcement de l'apprentissage par l’expérience (et non plus de l'apprentissage "vertical" classique) </w:t>
            </w:r>
          </w:p>
          <w:p w:rsidR="00B040FF" w:rsidRPr="003572A0" w:rsidRDefault="00B040FF" w:rsidP="00E71E1D">
            <w:pPr>
              <w:numPr>
                <w:ilvl w:val="0"/>
                <w:numId w:val="1"/>
              </w:numPr>
              <w:tabs>
                <w:tab w:val="left" w:pos="2268"/>
              </w:tabs>
              <w:spacing w:before="120" w:after="0" w:line="240" w:lineRule="auto"/>
              <w:ind w:left="226" w:hanging="142"/>
              <w:rPr>
                <w:rFonts w:ascii="Calibri" w:eastAsia="Times New Roman" w:hAnsi="Calibri" w:cs="Times New Roman"/>
                <w:sz w:val="20"/>
                <w:szCs w:val="24"/>
              </w:rPr>
            </w:pPr>
            <w:r w:rsidRPr="003572A0">
              <w:rPr>
                <w:rFonts w:ascii="Calibri" w:eastAsia="Times New Roman" w:hAnsi="Calibri" w:cs="Times New Roman"/>
                <w:sz w:val="20"/>
                <w:szCs w:val="24"/>
              </w:rPr>
              <w:t xml:space="preserve"> Rôle croissant d'internet à travers la mise à disposition de connaissances (ex : Massive Open Online Courses – MOOC) </w:t>
            </w:r>
          </w:p>
        </w:tc>
        <w:tc>
          <w:tcPr>
            <w:tcW w:w="1167" w:type="pct"/>
            <w:vMerge w:val="restart"/>
            <w:shd w:val="clear" w:color="auto" w:fill="DEEEF2"/>
          </w:tcPr>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Lieu concentrant des idées, des initiatives, des structures, des services.</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Pôle international en matière de numérique (présence des pôles de compétitivité CAP Digital et Systematic…).</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Importance de la R&amp;D (Paris, Marne-la-Vallée, Plateau de Saclay).</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Présence des universités et des pôles décisionnels (sièges d’entreprises, fédérations…).</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Offre de formation supérieure et continue importante.</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Un territoire ouvert ; un apport extérieur significatif.</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Disparités au sein de la population (accès au numérique, au savoir…).</w:t>
            </w:r>
          </w:p>
          <w:p w:rsidR="00B040FF" w:rsidRPr="003572A0" w:rsidRDefault="00B040FF" w:rsidP="0073309E">
            <w:pPr>
              <w:numPr>
                <w:ilvl w:val="0"/>
                <w:numId w:val="1"/>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Mobilité de certains Franciliens très limitée / versus une mobilité importante des décideurs.</w:t>
            </w:r>
          </w:p>
          <w:p w:rsidR="00B040FF" w:rsidRPr="003572A0" w:rsidRDefault="00B040FF" w:rsidP="0073309E">
            <w:pPr>
              <w:numPr>
                <w:ilvl w:val="0"/>
                <w:numId w:val="1"/>
              </w:numPr>
              <w:autoSpaceDE w:val="0"/>
              <w:autoSpaceDN w:val="0"/>
              <w:adjustRightInd w:val="0"/>
              <w:spacing w:before="120" w:after="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La population francilienne est mobile, souvent en région parisienne pour des raisons professionnelles. Cette mobilité est un facteur important d’innovation. Néanmoins elle entraîne un ancrage territorial plus faible.</w:t>
            </w:r>
          </w:p>
          <w:p w:rsidR="00B040FF" w:rsidRPr="0073309E" w:rsidRDefault="00B040FF" w:rsidP="0073309E">
            <w:pPr>
              <w:tabs>
                <w:tab w:val="left" w:pos="2268"/>
              </w:tabs>
              <w:spacing w:before="120" w:after="0" w:line="240" w:lineRule="auto"/>
              <w:ind w:left="84"/>
              <w:rPr>
                <w:rFonts w:ascii="Calibri" w:eastAsia="Times New Roman" w:hAnsi="Calibri" w:cs="Times New Roman"/>
                <w:sz w:val="20"/>
                <w:szCs w:val="24"/>
              </w:rPr>
            </w:pPr>
          </w:p>
        </w:tc>
        <w:tc>
          <w:tcPr>
            <w:tcW w:w="1201" w:type="pct"/>
            <w:shd w:val="clear" w:color="auto" w:fill="DEEEF2"/>
          </w:tcPr>
          <w:p w:rsidR="00B040FF" w:rsidRPr="0073309E" w:rsidRDefault="00B040FF" w:rsidP="0073309E">
            <w:pPr>
              <w:tabs>
                <w:tab w:val="left" w:pos="2268"/>
              </w:tabs>
              <w:spacing w:before="120" w:after="0" w:line="240" w:lineRule="auto"/>
              <w:ind w:left="84"/>
              <w:rPr>
                <w:rFonts w:ascii="Calibri" w:eastAsia="Times New Roman" w:hAnsi="Calibri" w:cs="Times New Roman"/>
                <w:sz w:val="20"/>
                <w:szCs w:val="24"/>
              </w:rPr>
            </w:pPr>
          </w:p>
        </w:tc>
      </w:tr>
      <w:tr w:rsidR="0073309E" w:rsidRPr="0073309E" w:rsidTr="00ED50CF">
        <w:trPr>
          <w:trHeight w:val="1095"/>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Savoir-faire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spacing w:after="0" w:line="240" w:lineRule="auto"/>
              <w:ind w:left="60"/>
              <w:rPr>
                <w:rFonts w:ascii="Calibri" w:eastAsia="Tahoma" w:hAnsi="Calibri" w:cs="Times New Roman"/>
                <w:sz w:val="20"/>
                <w:szCs w:val="24"/>
              </w:rPr>
            </w:pPr>
            <w:r w:rsidRPr="003572A0">
              <w:rPr>
                <w:rFonts w:ascii="Calibri" w:eastAsia="Tahoma" w:hAnsi="Calibri" w:cs="Times New Roman"/>
                <w:sz w:val="20"/>
                <w:szCs w:val="24"/>
              </w:rPr>
              <w:t> Montée en puissance du visuel par rapport à l'écrit</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Reconnaissance croissante de l'expertise d'usage</w:t>
            </w:r>
          </w:p>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Maîtrise très inégale des enjeux de la transition écologique</w:t>
            </w:r>
          </w:p>
        </w:tc>
        <w:tc>
          <w:tcPr>
            <w:tcW w:w="1167" w:type="pct"/>
            <w:vMerge/>
            <w:shd w:val="clear" w:color="auto" w:fill="DEEEF2"/>
          </w:tcPr>
          <w:p w:rsidR="00B040FF" w:rsidRPr="0073309E" w:rsidRDefault="00B040FF" w:rsidP="0073309E">
            <w:pPr>
              <w:tabs>
                <w:tab w:val="left" w:pos="2268"/>
              </w:tabs>
              <w:spacing w:before="120" w:after="0" w:line="240" w:lineRule="auto"/>
              <w:ind w:left="64"/>
              <w:rPr>
                <w:rFonts w:ascii="Calibri" w:eastAsia="Times New Roman" w:hAnsi="Calibri" w:cs="Times New Roman"/>
                <w:sz w:val="20"/>
                <w:szCs w:val="24"/>
              </w:rPr>
            </w:pPr>
          </w:p>
        </w:tc>
        <w:tc>
          <w:tcPr>
            <w:tcW w:w="1201" w:type="pct"/>
            <w:shd w:val="clear" w:color="auto" w:fill="DEEEF2"/>
          </w:tcPr>
          <w:p w:rsidR="00B040FF" w:rsidRPr="0073309E" w:rsidRDefault="00B040FF" w:rsidP="0073309E">
            <w:pPr>
              <w:tabs>
                <w:tab w:val="left" w:pos="2268"/>
              </w:tabs>
              <w:spacing w:before="120" w:after="0" w:line="240" w:lineRule="auto"/>
              <w:ind w:left="64"/>
              <w:rPr>
                <w:rFonts w:ascii="Calibri" w:eastAsia="Times New Roman" w:hAnsi="Calibri" w:cs="Times New Roman"/>
                <w:sz w:val="20"/>
                <w:szCs w:val="24"/>
              </w:rPr>
            </w:pPr>
          </w:p>
        </w:tc>
      </w:tr>
      <w:tr w:rsidR="0073309E" w:rsidRPr="0073309E" w:rsidTr="00ED50CF">
        <w:trPr>
          <w:trHeight w:val="592"/>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Usages du numérique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Diffusion des usages mobiles du numérique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Atténuation de la fracture numérique</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spacing w:after="0" w:line="240" w:lineRule="auto"/>
              <w:ind w:left="64"/>
              <w:rPr>
                <w:rFonts w:ascii="Calibri" w:eastAsia="Tahoma" w:hAnsi="Calibri" w:cs="Times New Roman"/>
                <w:sz w:val="20"/>
                <w:szCs w:val="24"/>
              </w:rPr>
            </w:pPr>
            <w:r w:rsidRPr="003572A0">
              <w:rPr>
                <w:rFonts w:ascii="Calibri" w:eastAsia="Tahoma" w:hAnsi="Calibri" w:cs="Times New Roman"/>
                <w:sz w:val="20"/>
                <w:szCs w:val="24"/>
              </w:rPr>
              <w:t>Montée en puissance des réseaux sociaux comme supports de mobilisation</w:t>
            </w:r>
          </w:p>
        </w:tc>
        <w:tc>
          <w:tcPr>
            <w:tcW w:w="1167" w:type="pct"/>
            <w:vMerge/>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c>
          <w:tcPr>
            <w:tcW w:w="1201" w:type="pct"/>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r>
      <w:tr w:rsidR="0073309E" w:rsidRPr="0073309E" w:rsidTr="00ED50CF">
        <w:trPr>
          <w:trHeight w:val="592"/>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Logiques d'innovation</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spacing w:after="0" w:line="240" w:lineRule="auto"/>
              <w:ind w:left="60"/>
              <w:rPr>
                <w:rFonts w:ascii="Calibri" w:eastAsia="Tahoma" w:hAnsi="Calibri" w:cs="Times New Roman"/>
                <w:sz w:val="20"/>
                <w:szCs w:val="24"/>
              </w:rPr>
            </w:pPr>
            <w:r w:rsidRPr="003572A0">
              <w:rPr>
                <w:rFonts w:ascii="Calibri" w:eastAsia="Tahoma" w:hAnsi="Calibri" w:cs="Times New Roman"/>
                <w:sz w:val="20"/>
                <w:szCs w:val="24"/>
              </w:rPr>
              <w:t>Prégnance des modes classiques d'innovation (innovation technologique et démarche descendante – top down)</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Développement croissant de l'innovation sociale</w:t>
            </w:r>
          </w:p>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Émergence de l'innovation participative et en réseau</w:t>
            </w:r>
          </w:p>
        </w:tc>
        <w:tc>
          <w:tcPr>
            <w:tcW w:w="1167" w:type="pct"/>
            <w:vMerge/>
            <w:shd w:val="clear" w:color="auto" w:fill="DEEEF2"/>
          </w:tcPr>
          <w:p w:rsidR="00B040FF" w:rsidRPr="0073309E" w:rsidRDefault="00B040FF" w:rsidP="0073309E">
            <w:pPr>
              <w:tabs>
                <w:tab w:val="left" w:pos="2268"/>
              </w:tabs>
              <w:spacing w:before="120" w:after="0" w:line="240" w:lineRule="auto"/>
              <w:ind w:left="64"/>
              <w:rPr>
                <w:rFonts w:ascii="Calibri" w:eastAsia="Times New Roman" w:hAnsi="Calibri" w:cs="Times New Roman"/>
                <w:sz w:val="20"/>
                <w:szCs w:val="24"/>
              </w:rPr>
            </w:pPr>
          </w:p>
        </w:tc>
        <w:tc>
          <w:tcPr>
            <w:tcW w:w="1201" w:type="pct"/>
            <w:shd w:val="clear" w:color="auto" w:fill="DEEEF2"/>
          </w:tcPr>
          <w:p w:rsidR="00B040FF" w:rsidRPr="0073309E" w:rsidRDefault="00B040FF" w:rsidP="0073309E">
            <w:pPr>
              <w:tabs>
                <w:tab w:val="left" w:pos="2268"/>
              </w:tabs>
              <w:spacing w:before="120" w:after="0" w:line="240" w:lineRule="auto"/>
              <w:ind w:left="64"/>
              <w:rPr>
                <w:rFonts w:ascii="Calibri" w:eastAsia="Times New Roman" w:hAnsi="Calibri" w:cs="Times New Roman"/>
                <w:sz w:val="20"/>
                <w:szCs w:val="24"/>
              </w:rPr>
            </w:pPr>
          </w:p>
        </w:tc>
      </w:tr>
      <w:tr w:rsidR="0073309E" w:rsidRPr="0073309E" w:rsidTr="00ED50CF">
        <w:trPr>
          <w:trHeight w:val="1387"/>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Méthodes et outils d’intelligence collective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spacing w:after="0" w:line="240" w:lineRule="auto"/>
              <w:ind w:left="60"/>
              <w:rPr>
                <w:rFonts w:ascii="Calibri" w:eastAsia="Tahoma" w:hAnsi="Calibri" w:cs="Times New Roman"/>
                <w:sz w:val="20"/>
                <w:szCs w:val="24"/>
              </w:rPr>
            </w:pPr>
            <w:r w:rsidRPr="003572A0">
              <w:rPr>
                <w:rFonts w:ascii="Calibri" w:eastAsia="Tahoma" w:hAnsi="Calibri" w:cs="Times New Roman"/>
                <w:sz w:val="20"/>
                <w:szCs w:val="24"/>
              </w:rPr>
              <w:t>Prémices de méthodes avec l’encouragement de la démocratie participative</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spacing w:after="0" w:line="240" w:lineRule="auto"/>
              <w:ind w:left="64"/>
              <w:rPr>
                <w:rFonts w:ascii="Calibri" w:eastAsia="Tahoma" w:hAnsi="Calibri" w:cs="Times New Roman"/>
                <w:sz w:val="20"/>
                <w:szCs w:val="24"/>
              </w:rPr>
            </w:pPr>
            <w:r w:rsidRPr="003572A0">
              <w:rPr>
                <w:rFonts w:ascii="Calibri" w:eastAsia="Tahoma" w:hAnsi="Calibri" w:cs="Times New Roman"/>
                <w:sz w:val="20"/>
                <w:szCs w:val="24"/>
              </w:rPr>
              <w:t>Émergence rapide de processus d’intelligence collective, notamment via les réseaux sociaux</w:t>
            </w:r>
          </w:p>
        </w:tc>
        <w:tc>
          <w:tcPr>
            <w:tcW w:w="1167" w:type="pct"/>
            <w:vMerge/>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c>
          <w:tcPr>
            <w:tcW w:w="1201" w:type="pct"/>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r>
      <w:tr w:rsidR="0073309E" w:rsidRPr="0073309E" w:rsidTr="00ED50CF">
        <w:trPr>
          <w:trHeight w:val="885"/>
        </w:trPr>
        <w:tc>
          <w:tcPr>
            <w:tcW w:w="451" w:type="pct"/>
            <w:vMerge w:val="restart"/>
            <w:shd w:val="clear" w:color="auto" w:fill="auto"/>
            <w:tcMar>
              <w:top w:w="15" w:type="dxa"/>
              <w:left w:w="15" w:type="dxa"/>
              <w:bottom w:w="0" w:type="dxa"/>
              <w:right w:w="15"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b/>
                <w:bCs/>
                <w:iCs/>
                <w:color w:val="385D8A"/>
                <w:sz w:val="20"/>
                <w:szCs w:val="24"/>
              </w:rPr>
              <w:lastRenderedPageBreak/>
              <w:t>Économie</w:t>
            </w: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Le salarié dans l'entreprise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Flexibilisation croissante du marché du travail</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Tension croissante sur les salariés (chômage de masse, précarité, temps partiel, pression sur la compétitivité et les salaires…)</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Préoccupation croissante du salarié dans son entreprise (stress, épanouissement, santé…)</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spacing w:after="0" w:line="240" w:lineRule="auto"/>
              <w:ind w:left="64"/>
              <w:rPr>
                <w:rFonts w:ascii="Calibri" w:eastAsia="Tahoma" w:hAnsi="Calibri" w:cs="Times New Roman"/>
                <w:sz w:val="20"/>
                <w:szCs w:val="24"/>
              </w:rPr>
            </w:pPr>
            <w:r w:rsidRPr="003572A0">
              <w:rPr>
                <w:rFonts w:ascii="Calibri" w:eastAsia="Tahoma" w:hAnsi="Calibri" w:cs="Times New Roman"/>
                <w:sz w:val="20"/>
                <w:szCs w:val="24"/>
              </w:rPr>
              <w:t>Émergence de formes de participation des salariés dans la vie de l'entreprise (coopératives…)</w:t>
            </w:r>
          </w:p>
        </w:tc>
        <w:tc>
          <w:tcPr>
            <w:tcW w:w="1167" w:type="pct"/>
            <w:vMerge w:val="restart"/>
            <w:shd w:val="clear" w:color="auto" w:fill="DEEEF2"/>
          </w:tcPr>
          <w:p w:rsidR="00B040FF" w:rsidRPr="003572A0" w:rsidRDefault="00B040FF" w:rsidP="0073309E">
            <w:pPr>
              <w:numPr>
                <w:ilvl w:val="0"/>
                <w:numId w:val="8"/>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Présence de pôles économiques et commerciaux.</w:t>
            </w:r>
          </w:p>
          <w:p w:rsidR="00B040FF" w:rsidRPr="003572A0" w:rsidRDefault="00B040FF" w:rsidP="0073309E">
            <w:pPr>
              <w:numPr>
                <w:ilvl w:val="0"/>
                <w:numId w:val="8"/>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PIB par habitant plus élevé que la moyenne nationale (51 118 €/hab. en Île-de-France contre 30 999 €/hab. en France métropolitaine en 2011</w:t>
            </w:r>
            <w:r w:rsidRPr="003572A0">
              <w:rPr>
                <w:rFonts w:ascii="Calibri" w:eastAsia="Calibri" w:hAnsi="Calibri" w:cs="Calibri"/>
                <w:color w:val="000000"/>
                <w:sz w:val="20"/>
                <w:szCs w:val="20"/>
                <w:vertAlign w:val="superscript"/>
                <w:lang w:eastAsia="fr-FR"/>
              </w:rPr>
              <w:fldChar w:fldCharType="begin"/>
            </w:r>
            <w:r w:rsidRPr="003572A0">
              <w:rPr>
                <w:rFonts w:ascii="Calibri" w:eastAsia="Calibri" w:hAnsi="Calibri" w:cs="Calibri"/>
                <w:color w:val="000000"/>
                <w:sz w:val="20"/>
                <w:szCs w:val="20"/>
                <w:vertAlign w:val="superscript"/>
                <w:lang w:eastAsia="fr-FR"/>
              </w:rPr>
              <w:instrText xml:space="preserve"> NOTEREF _Ref396398218 \h  \* MERGEFORMAT </w:instrText>
            </w:r>
            <w:r w:rsidRPr="003572A0">
              <w:rPr>
                <w:rFonts w:ascii="Calibri" w:eastAsia="Calibri" w:hAnsi="Calibri" w:cs="Calibri"/>
                <w:color w:val="000000"/>
                <w:sz w:val="20"/>
                <w:szCs w:val="20"/>
                <w:vertAlign w:val="superscript"/>
                <w:lang w:eastAsia="fr-FR"/>
              </w:rPr>
            </w:r>
            <w:r w:rsidRPr="003572A0">
              <w:rPr>
                <w:rFonts w:ascii="Calibri" w:eastAsia="Calibri" w:hAnsi="Calibri" w:cs="Calibri"/>
                <w:color w:val="000000"/>
                <w:sz w:val="20"/>
                <w:szCs w:val="20"/>
                <w:vertAlign w:val="superscript"/>
                <w:lang w:eastAsia="fr-FR"/>
              </w:rPr>
              <w:fldChar w:fldCharType="separate"/>
            </w:r>
            <w:r w:rsidRPr="003572A0">
              <w:rPr>
                <w:rFonts w:ascii="Calibri" w:eastAsia="Calibri" w:hAnsi="Calibri" w:cs="Calibri"/>
                <w:color w:val="000000"/>
                <w:sz w:val="20"/>
                <w:szCs w:val="20"/>
                <w:vertAlign w:val="superscript"/>
                <w:lang w:eastAsia="fr-FR"/>
              </w:rPr>
              <w:t>3</w:t>
            </w:r>
            <w:r w:rsidRPr="003572A0">
              <w:rPr>
                <w:rFonts w:ascii="Calibri" w:eastAsia="Calibri" w:hAnsi="Calibri" w:cs="Calibri"/>
                <w:color w:val="000000"/>
                <w:sz w:val="20"/>
                <w:szCs w:val="20"/>
                <w:vertAlign w:val="superscript"/>
                <w:lang w:eastAsia="fr-FR"/>
              </w:rPr>
              <w:fldChar w:fldCharType="end"/>
            </w:r>
            <w:r w:rsidRPr="003572A0">
              <w:rPr>
                <w:rFonts w:ascii="Calibri" w:eastAsia="Calibri" w:hAnsi="Calibri" w:cs="Calibri"/>
                <w:color w:val="000000"/>
                <w:sz w:val="20"/>
                <w:szCs w:val="20"/>
                <w:lang w:eastAsia="fr-FR"/>
              </w:rPr>
              <w:t>).</w:t>
            </w:r>
          </w:p>
          <w:p w:rsidR="00B040FF" w:rsidRPr="003572A0" w:rsidRDefault="00B040FF" w:rsidP="0073309E">
            <w:pPr>
              <w:numPr>
                <w:ilvl w:val="0"/>
                <w:numId w:val="8"/>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Vision du travail à renouveler ; organisation à renouveler (cf. levier du coworking).</w:t>
            </w:r>
          </w:p>
          <w:p w:rsidR="00B040FF" w:rsidRPr="003572A0" w:rsidRDefault="00B040FF" w:rsidP="0073309E">
            <w:pPr>
              <w:numPr>
                <w:ilvl w:val="0"/>
                <w:numId w:val="8"/>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Distance géographique et temporelle croissante entre lieu de domicile et lieu de travail.</w:t>
            </w:r>
          </w:p>
          <w:p w:rsidR="00B040FF" w:rsidRPr="003572A0" w:rsidRDefault="00B040FF" w:rsidP="0073309E">
            <w:pPr>
              <w:numPr>
                <w:ilvl w:val="0"/>
                <w:numId w:val="8"/>
              </w:numPr>
              <w:autoSpaceDE w:val="0"/>
              <w:autoSpaceDN w:val="0"/>
              <w:adjustRightInd w:val="0"/>
              <w:spacing w:before="120" w:after="12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Manque de lien entre les entreprises et les territoires.</w:t>
            </w:r>
          </w:p>
          <w:p w:rsidR="00B040FF" w:rsidRPr="003572A0" w:rsidRDefault="00B040FF" w:rsidP="0073309E">
            <w:pPr>
              <w:numPr>
                <w:ilvl w:val="0"/>
                <w:numId w:val="8"/>
              </w:numPr>
              <w:autoSpaceDE w:val="0"/>
              <w:autoSpaceDN w:val="0"/>
              <w:adjustRightInd w:val="0"/>
              <w:spacing w:before="120" w:after="0" w:line="240" w:lineRule="auto"/>
              <w:ind w:left="284"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Moyens financiers (loyers très élevés) et en temps moindres (notamment en raison des distances domicile-travail) qui limitent la contribution.</w:t>
            </w:r>
          </w:p>
          <w:p w:rsidR="00B040FF" w:rsidRPr="003572A0" w:rsidRDefault="00B040FF" w:rsidP="0073309E">
            <w:pPr>
              <w:autoSpaceDE w:val="0"/>
              <w:autoSpaceDN w:val="0"/>
              <w:adjustRightInd w:val="0"/>
              <w:spacing w:after="0" w:line="240" w:lineRule="auto"/>
              <w:rPr>
                <w:rFonts w:ascii="Calibri" w:eastAsia="Calibri" w:hAnsi="Calibri" w:cs="Calibri"/>
                <w:color w:val="000000"/>
                <w:sz w:val="20"/>
                <w:szCs w:val="20"/>
                <w:lang w:eastAsia="fr-FR"/>
              </w:rPr>
            </w:pPr>
          </w:p>
          <w:p w:rsidR="00B040FF" w:rsidRPr="0073309E" w:rsidRDefault="00B040FF" w:rsidP="0073309E">
            <w:pPr>
              <w:spacing w:after="0" w:line="240" w:lineRule="auto"/>
              <w:ind w:left="64"/>
              <w:rPr>
                <w:rFonts w:ascii="Calibri" w:eastAsia="Tahoma" w:hAnsi="Calibri" w:cs="Times New Roman"/>
                <w:sz w:val="20"/>
                <w:szCs w:val="24"/>
              </w:rPr>
            </w:pPr>
          </w:p>
        </w:tc>
        <w:tc>
          <w:tcPr>
            <w:tcW w:w="1201" w:type="pct"/>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r>
      <w:tr w:rsidR="0073309E" w:rsidRPr="0073309E" w:rsidTr="00ED50CF">
        <w:trPr>
          <w:trHeight w:val="1473"/>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Lien entre économie et territoire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Tertiarisation croissante de l'activité économique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Affaiblissement de l'appareil productif</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Développement de l'économie sociale et solidaire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Mondialisation et fonctionnement en réseau des grandes entreprises avec perte de lien entre elles et leur territoire d’ancrage.</w:t>
            </w:r>
          </w:p>
        </w:tc>
        <w:tc>
          <w:tcPr>
            <w:tcW w:w="913" w:type="pct"/>
            <w:tcBorders>
              <w:bottom w:val="single" w:sz="12" w:space="0" w:color="385D8A"/>
            </w:tcBorders>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Relocalisation de certaines activités économiques (artisanat, énergie, agro-alimentaire, industries de niche…)</w:t>
            </w:r>
          </w:p>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Montée en puissance d'alternatives au modèle économique dominant (production décentralisée d’énergie, économie circulaire, économie de la fonctionnalité…)</w:t>
            </w:r>
          </w:p>
          <w:p w:rsidR="00B040FF" w:rsidRPr="003572A0" w:rsidRDefault="00B040FF" w:rsidP="00E71E1D">
            <w:pPr>
              <w:numPr>
                <w:ilvl w:val="0"/>
                <w:numId w:val="1"/>
              </w:numPr>
              <w:tabs>
                <w:tab w:val="left" w:pos="2268"/>
              </w:tabs>
              <w:spacing w:before="120" w:after="0" w:line="240" w:lineRule="auto"/>
              <w:ind w:left="206" w:hanging="142"/>
              <w:rPr>
                <w:rFonts w:ascii="Calibri" w:eastAsia="Times New Roman" w:hAnsi="Calibri" w:cs="Times New Roman"/>
                <w:sz w:val="20"/>
                <w:szCs w:val="24"/>
              </w:rPr>
            </w:pPr>
            <w:r w:rsidRPr="003572A0">
              <w:rPr>
                <w:rFonts w:ascii="Calibri" w:eastAsia="Times New Roman" w:hAnsi="Calibri" w:cs="Times New Roman"/>
                <w:sz w:val="20"/>
                <w:szCs w:val="24"/>
              </w:rPr>
              <w:t>PME : renouveau d'activités ancrées dans le territoire (circuits courts, économie de proximité)</w:t>
            </w:r>
          </w:p>
        </w:tc>
        <w:tc>
          <w:tcPr>
            <w:tcW w:w="1167" w:type="pct"/>
            <w:vMerge/>
            <w:shd w:val="clear" w:color="auto" w:fill="DEEEF2"/>
          </w:tcPr>
          <w:p w:rsidR="00B040FF" w:rsidRPr="0073309E" w:rsidRDefault="00B040FF" w:rsidP="0073309E">
            <w:pPr>
              <w:tabs>
                <w:tab w:val="left" w:pos="2268"/>
              </w:tabs>
              <w:spacing w:before="120" w:after="0" w:line="240" w:lineRule="auto"/>
              <w:rPr>
                <w:rFonts w:ascii="Calibri" w:eastAsia="Times New Roman" w:hAnsi="Calibri" w:cs="Times New Roman"/>
                <w:sz w:val="20"/>
                <w:szCs w:val="24"/>
              </w:rPr>
            </w:pPr>
          </w:p>
        </w:tc>
        <w:tc>
          <w:tcPr>
            <w:tcW w:w="1201" w:type="pct"/>
            <w:tcBorders>
              <w:bottom w:val="single" w:sz="12" w:space="0" w:color="385D8A"/>
            </w:tcBorders>
            <w:shd w:val="clear" w:color="auto" w:fill="DEEEF2"/>
          </w:tcPr>
          <w:p w:rsidR="00B040FF" w:rsidRPr="0073309E" w:rsidRDefault="00B040FF" w:rsidP="0073309E">
            <w:pPr>
              <w:tabs>
                <w:tab w:val="left" w:pos="2268"/>
              </w:tabs>
              <w:spacing w:before="120" w:after="0" w:line="240" w:lineRule="auto"/>
              <w:rPr>
                <w:rFonts w:ascii="Calibri" w:eastAsia="Times New Roman" w:hAnsi="Calibri" w:cs="Times New Roman"/>
                <w:sz w:val="20"/>
                <w:szCs w:val="24"/>
              </w:rPr>
            </w:pPr>
          </w:p>
        </w:tc>
      </w:tr>
      <w:tr w:rsidR="0073309E" w:rsidRPr="0073309E" w:rsidTr="00ED50CF">
        <w:trPr>
          <w:trHeight w:val="592"/>
        </w:trPr>
        <w:tc>
          <w:tcPr>
            <w:tcW w:w="451" w:type="pct"/>
            <w:vMerge/>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9E009B">
            <w:pPr>
              <w:spacing w:after="0" w:line="240" w:lineRule="auto"/>
              <w:ind w:left="43"/>
              <w:jc w:val="center"/>
              <w:rPr>
                <w:rFonts w:ascii="Calibri" w:eastAsia="Tahoma" w:hAnsi="Calibri" w:cs="Times New Roman"/>
                <w:color w:val="385D8A"/>
                <w:sz w:val="20"/>
                <w:szCs w:val="24"/>
              </w:rPr>
            </w:pPr>
            <w:r w:rsidRPr="00E5664E">
              <w:rPr>
                <w:rFonts w:ascii="Calibri" w:eastAsia="Tahoma" w:hAnsi="Calibri" w:cs="Times New Roman"/>
                <w:i/>
                <w:iCs/>
                <w:color w:val="385D8A"/>
                <w:sz w:val="18"/>
                <w:szCs w:val="24"/>
              </w:rPr>
              <w:t>Implication des entreprises dans le développement durable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spacing w:after="0" w:line="240" w:lineRule="auto"/>
              <w:ind w:left="60"/>
              <w:rPr>
                <w:rFonts w:ascii="Calibri" w:eastAsia="Tahoma" w:hAnsi="Calibri" w:cs="Times New Roman"/>
                <w:sz w:val="20"/>
                <w:szCs w:val="24"/>
              </w:rPr>
            </w:pPr>
            <w:r w:rsidRPr="003572A0">
              <w:rPr>
                <w:rFonts w:ascii="Calibri" w:eastAsia="Tahoma" w:hAnsi="Calibri" w:cs="Times New Roman"/>
                <w:sz w:val="20"/>
                <w:szCs w:val="24"/>
              </w:rPr>
              <w:t>Utilisation du développement durable comme image positive pour l'entreprise</w:t>
            </w:r>
          </w:p>
        </w:tc>
        <w:tc>
          <w:tcPr>
            <w:tcW w:w="913" w:type="pct"/>
            <w:tcBorders>
              <w:bottom w:val="single" w:sz="12" w:space="0" w:color="385D8A"/>
            </w:tcBorders>
            <w:shd w:val="clear" w:color="auto" w:fill="DEEEF2"/>
            <w:tcMar>
              <w:top w:w="57" w:type="dxa"/>
              <w:left w:w="57" w:type="dxa"/>
              <w:bottom w:w="57" w:type="dxa"/>
              <w:right w:w="57" w:type="dxa"/>
            </w:tcMar>
            <w:vAlign w:val="center"/>
            <w:hideMark/>
          </w:tcPr>
          <w:p w:rsidR="00B040FF" w:rsidRPr="003572A0" w:rsidRDefault="00B040FF" w:rsidP="00E71E1D">
            <w:pPr>
              <w:spacing w:after="0" w:line="240" w:lineRule="auto"/>
              <w:ind w:left="64"/>
              <w:rPr>
                <w:rFonts w:ascii="Calibri" w:eastAsia="Tahoma" w:hAnsi="Calibri" w:cs="Times New Roman"/>
                <w:sz w:val="20"/>
                <w:szCs w:val="24"/>
              </w:rPr>
            </w:pPr>
            <w:r w:rsidRPr="003572A0">
              <w:rPr>
                <w:rFonts w:ascii="Calibri" w:eastAsia="Tahoma" w:hAnsi="Calibri" w:cs="Times New Roman"/>
                <w:sz w:val="20"/>
                <w:szCs w:val="24"/>
              </w:rPr>
              <w:t>Implication croissante de certaines  entreprises dans la transition écologique</w:t>
            </w:r>
          </w:p>
        </w:tc>
        <w:tc>
          <w:tcPr>
            <w:tcW w:w="1167" w:type="pct"/>
            <w:vMerge/>
            <w:tcBorders>
              <w:bottom w:val="single" w:sz="12" w:space="0" w:color="385D8A"/>
            </w:tcBorders>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c>
          <w:tcPr>
            <w:tcW w:w="1201" w:type="pct"/>
            <w:tcBorders>
              <w:bottom w:val="single" w:sz="12" w:space="0" w:color="385D8A"/>
            </w:tcBorders>
            <w:shd w:val="clear" w:color="auto" w:fill="DEEEF2"/>
          </w:tcPr>
          <w:p w:rsidR="00B040FF" w:rsidRPr="0073309E" w:rsidRDefault="00B040FF" w:rsidP="0073309E">
            <w:pPr>
              <w:spacing w:after="0" w:line="240" w:lineRule="auto"/>
              <w:ind w:left="64"/>
              <w:rPr>
                <w:rFonts w:ascii="Calibri" w:eastAsia="Tahoma" w:hAnsi="Calibri" w:cs="Times New Roman"/>
                <w:sz w:val="20"/>
                <w:szCs w:val="24"/>
              </w:rPr>
            </w:pPr>
          </w:p>
        </w:tc>
      </w:tr>
      <w:tr w:rsidR="0073309E" w:rsidRPr="0073309E" w:rsidTr="00ED50CF">
        <w:trPr>
          <w:trHeight w:val="2370"/>
        </w:trPr>
        <w:tc>
          <w:tcPr>
            <w:tcW w:w="451" w:type="pct"/>
            <w:vMerge w:val="restart"/>
            <w:shd w:val="clear" w:color="auto" w:fill="auto"/>
            <w:tcMar>
              <w:top w:w="3" w:type="dxa"/>
              <w:left w:w="3" w:type="dxa"/>
              <w:bottom w:w="0" w:type="dxa"/>
              <w:right w:w="3" w:type="dxa"/>
            </w:tcMar>
            <w:vAlign w:val="center"/>
            <w:hideMark/>
          </w:tcPr>
          <w:p w:rsidR="00B040FF" w:rsidRPr="003572A0" w:rsidRDefault="00543D93" w:rsidP="00543D93">
            <w:pPr>
              <w:spacing w:after="0" w:line="240" w:lineRule="auto"/>
              <w:ind w:right="-333"/>
              <w:rPr>
                <w:rFonts w:ascii="Calibri" w:eastAsia="Tahoma" w:hAnsi="Calibri" w:cs="Times New Roman"/>
                <w:sz w:val="20"/>
                <w:szCs w:val="24"/>
              </w:rPr>
            </w:pPr>
            <w:r>
              <w:rPr>
                <w:rFonts w:ascii="Calibri" w:eastAsia="Tahoma" w:hAnsi="Calibri" w:cs="Times New Roman"/>
                <w:b/>
                <w:bCs/>
                <w:iCs/>
                <w:color w:val="385D8A"/>
                <w:sz w:val="20"/>
                <w:szCs w:val="24"/>
              </w:rPr>
              <w:t xml:space="preserve">    </w:t>
            </w:r>
            <w:r w:rsidR="00B040FF" w:rsidRPr="003572A0">
              <w:rPr>
                <w:rFonts w:ascii="Calibri" w:eastAsia="Tahoma" w:hAnsi="Calibri" w:cs="Times New Roman"/>
                <w:b/>
                <w:bCs/>
                <w:iCs/>
                <w:color w:val="385D8A"/>
                <w:sz w:val="20"/>
                <w:szCs w:val="24"/>
              </w:rPr>
              <w:t>Politique</w:t>
            </w: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Contexte institutionnel, réglementaire, stratégique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Complexité administrative de la France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Compétences partagées entre niveaux de collectivités</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Modèle jacobin</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Organisation des collectivités traditionnellement « verticale »</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Décentralisation en cours, renforcement des échelons « Région » et « EPCI échelle bassin de vie »</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Renforcement des démarches transversales au sein des collectivités</w:t>
            </w:r>
          </w:p>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Émergence de modes de gouvernance alternatifs (associant citoyens, associations et entreprises)</w:t>
            </w:r>
          </w:p>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Appels à projets dans le domaine de la transition écologique</w:t>
            </w:r>
          </w:p>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Développement des territoires en réseaux</w:t>
            </w:r>
          </w:p>
        </w:tc>
        <w:tc>
          <w:tcPr>
            <w:tcW w:w="1167" w:type="pct"/>
            <w:vMerge w:val="restart"/>
            <w:shd w:val="clear" w:color="auto" w:fill="DEEEF2"/>
          </w:tcPr>
          <w:p w:rsidR="0016402B" w:rsidRPr="003572A0" w:rsidRDefault="0016402B" w:rsidP="0073309E">
            <w:pPr>
              <w:numPr>
                <w:ilvl w:val="0"/>
                <w:numId w:val="1"/>
              </w:numPr>
              <w:autoSpaceDE w:val="0"/>
              <w:autoSpaceDN w:val="0"/>
              <w:adjustRightInd w:val="0"/>
              <w:spacing w:before="120"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Plans et schémas régionaux : Schéma Directeur de la Région Île-de-France (SDRIF), Schéma Régional du Climat, de l’Air et de l’Énergie (SRCAE), Schéma régional de Cohérence Écologique (SRCE), Plan régional de prévention et de gestion des déchets de chantiers (PREDEC), Stratégie de Développement Économique et de l’Innovation  (SRDEI).</w:t>
            </w:r>
          </w:p>
          <w:p w:rsidR="0016402B" w:rsidRPr="003572A0" w:rsidRDefault="0016402B" w:rsidP="0073309E">
            <w:pPr>
              <w:numPr>
                <w:ilvl w:val="0"/>
                <w:numId w:val="1"/>
              </w:numPr>
              <w:autoSpaceDE w:val="0"/>
              <w:autoSpaceDN w:val="0"/>
              <w:adjustRightInd w:val="0"/>
              <w:spacing w:before="120"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Système centralisateur qui facilite la tenue de réunions sur Paris et la mise en réseau (communication plus aisée) mais complexité des sujets / des jeux d’acteurs :</w:t>
            </w:r>
          </w:p>
          <w:p w:rsidR="0016402B" w:rsidRPr="003572A0" w:rsidRDefault="0016402B" w:rsidP="0073309E">
            <w:pPr>
              <w:autoSpaceDE w:val="0"/>
              <w:autoSpaceDN w:val="0"/>
              <w:adjustRightInd w:val="0"/>
              <w:spacing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  rencontres entre l’échelon local et l’État plus importantes : proximité comme frein et levier</w:t>
            </w:r>
          </w:p>
          <w:p w:rsidR="0016402B" w:rsidRPr="003572A0" w:rsidRDefault="0016402B" w:rsidP="0073309E">
            <w:pPr>
              <w:autoSpaceDE w:val="0"/>
              <w:autoSpaceDN w:val="0"/>
              <w:adjustRightInd w:val="0"/>
              <w:spacing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 gouvernance État / local complexe</w:t>
            </w:r>
          </w:p>
          <w:p w:rsidR="0016402B" w:rsidRPr="003572A0" w:rsidRDefault="0016402B" w:rsidP="0073309E">
            <w:pPr>
              <w:numPr>
                <w:ilvl w:val="0"/>
                <w:numId w:val="1"/>
              </w:numPr>
              <w:autoSpaceDE w:val="0"/>
              <w:autoSpaceDN w:val="0"/>
              <w:adjustRightInd w:val="0"/>
              <w:spacing w:before="120"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Forte autonomie règlementaire de Paris.</w:t>
            </w:r>
          </w:p>
          <w:p w:rsidR="0016402B" w:rsidRPr="003572A0" w:rsidRDefault="0016402B" w:rsidP="0073309E">
            <w:pPr>
              <w:numPr>
                <w:ilvl w:val="0"/>
                <w:numId w:val="1"/>
              </w:numPr>
              <w:autoSpaceDE w:val="0"/>
              <w:autoSpaceDN w:val="0"/>
              <w:adjustRightInd w:val="0"/>
              <w:spacing w:before="120"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Incertitudes élevées sur la décentralisation / restructuration des EPCI.</w:t>
            </w:r>
          </w:p>
          <w:p w:rsidR="0016402B" w:rsidRPr="003572A0" w:rsidRDefault="0016402B" w:rsidP="0073309E">
            <w:pPr>
              <w:numPr>
                <w:ilvl w:val="0"/>
                <w:numId w:val="1"/>
              </w:numPr>
              <w:autoSpaceDE w:val="0"/>
              <w:autoSpaceDN w:val="0"/>
              <w:adjustRightInd w:val="0"/>
              <w:spacing w:before="120"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Vision des périphéries évolue (axe Paris-Le Havre).</w:t>
            </w:r>
          </w:p>
          <w:p w:rsidR="0016402B" w:rsidRPr="003572A0" w:rsidRDefault="0016402B" w:rsidP="0073309E">
            <w:pPr>
              <w:numPr>
                <w:ilvl w:val="0"/>
                <w:numId w:val="1"/>
              </w:numPr>
              <w:autoSpaceDE w:val="0"/>
              <w:autoSpaceDN w:val="0"/>
              <w:adjustRightInd w:val="0"/>
              <w:spacing w:before="120" w:after="12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Mise en place du Grand Paris et de la métropole du Grand Paris.</w:t>
            </w:r>
          </w:p>
          <w:p w:rsidR="0016402B" w:rsidRPr="003572A0" w:rsidRDefault="0016402B" w:rsidP="0073309E">
            <w:pPr>
              <w:numPr>
                <w:ilvl w:val="0"/>
                <w:numId w:val="1"/>
              </w:numPr>
              <w:autoSpaceDE w:val="0"/>
              <w:autoSpaceDN w:val="0"/>
              <w:adjustRightInd w:val="0"/>
              <w:spacing w:before="120" w:after="0" w:line="240" w:lineRule="auto"/>
              <w:ind w:left="281" w:hanging="142"/>
              <w:rPr>
                <w:rFonts w:ascii="Calibri" w:eastAsia="Calibri" w:hAnsi="Calibri" w:cs="Calibri"/>
                <w:color w:val="000000"/>
                <w:sz w:val="20"/>
                <w:szCs w:val="20"/>
                <w:lang w:eastAsia="fr-FR"/>
              </w:rPr>
            </w:pPr>
            <w:r w:rsidRPr="003572A0">
              <w:rPr>
                <w:rFonts w:ascii="Calibri" w:eastAsia="Calibri" w:hAnsi="Calibri" w:cs="Calibri"/>
                <w:color w:val="000000"/>
                <w:sz w:val="20"/>
                <w:szCs w:val="20"/>
                <w:lang w:eastAsia="fr-FR"/>
              </w:rPr>
              <w:t>Déconnexion entre la région administrative et l’espace vécu.</w:t>
            </w:r>
          </w:p>
          <w:p w:rsidR="0016402B" w:rsidRPr="003572A0" w:rsidRDefault="0016402B" w:rsidP="0073309E">
            <w:pPr>
              <w:spacing w:after="0" w:line="240" w:lineRule="auto"/>
              <w:ind w:left="281" w:hanging="142"/>
              <w:rPr>
                <w:rFonts w:ascii="Calibri" w:eastAsia="Tahoma" w:hAnsi="Calibri" w:cs="Calibri"/>
                <w:sz w:val="20"/>
              </w:rPr>
            </w:pPr>
          </w:p>
          <w:p w:rsidR="00B040FF" w:rsidRPr="0073309E" w:rsidRDefault="00B040FF" w:rsidP="0073309E">
            <w:pPr>
              <w:tabs>
                <w:tab w:val="left" w:pos="2268"/>
              </w:tabs>
              <w:spacing w:before="120" w:after="0" w:line="240" w:lineRule="auto"/>
              <w:rPr>
                <w:rFonts w:ascii="Calibri" w:eastAsia="Times New Roman" w:hAnsi="Calibri" w:cs="Times New Roman"/>
                <w:sz w:val="20"/>
                <w:szCs w:val="24"/>
              </w:rPr>
            </w:pPr>
          </w:p>
        </w:tc>
        <w:tc>
          <w:tcPr>
            <w:tcW w:w="1201" w:type="pct"/>
            <w:shd w:val="clear" w:color="auto" w:fill="DEEEF2"/>
          </w:tcPr>
          <w:p w:rsidR="00B040FF" w:rsidRPr="0073309E" w:rsidRDefault="00B040FF" w:rsidP="0073309E">
            <w:pPr>
              <w:tabs>
                <w:tab w:val="left" w:pos="2268"/>
              </w:tabs>
              <w:spacing w:before="120" w:after="0" w:line="240" w:lineRule="auto"/>
              <w:rPr>
                <w:rFonts w:ascii="Calibri" w:eastAsia="Times New Roman" w:hAnsi="Calibri" w:cs="Times New Roman"/>
                <w:sz w:val="20"/>
                <w:szCs w:val="24"/>
              </w:rPr>
            </w:pPr>
          </w:p>
        </w:tc>
      </w:tr>
      <w:tr w:rsidR="0073309E" w:rsidRPr="0073309E" w:rsidTr="00ED50CF">
        <w:trPr>
          <w:trHeight w:val="2119"/>
        </w:trPr>
        <w:tc>
          <w:tcPr>
            <w:tcW w:w="451" w:type="pct"/>
            <w:vMerge/>
            <w:vAlign w:val="center"/>
            <w:hideMark/>
          </w:tcPr>
          <w:p w:rsidR="00B040FF" w:rsidRPr="003572A0" w:rsidRDefault="00B040FF" w:rsidP="003572A0">
            <w:pPr>
              <w:spacing w:after="0" w:line="240" w:lineRule="auto"/>
              <w:rPr>
                <w:rFonts w:ascii="Calibri" w:eastAsia="Tahoma" w:hAnsi="Calibri" w:cs="Times New Roman"/>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Cadre de la transition écologique</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 xml:space="preserve">Grenelle et 3*20 : objectifs européens et nationaux ambitieux, en particulier sur la transition énergétique </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Une approche "réglementaire" de la transition écologique (schémas Grenelle, directives européennes…)</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Un cadre juridique encore assez rigide (transversalité, innovation, risque, partage de responsabilité…)</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Expérimentations en termes de partages de responsabilité</w:t>
            </w:r>
          </w:p>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Place croissante laissé à l'innovation et à l'expérimentation dans la gouvernance locale</w:t>
            </w:r>
          </w:p>
        </w:tc>
        <w:tc>
          <w:tcPr>
            <w:tcW w:w="1167" w:type="pct"/>
            <w:vMerge/>
            <w:shd w:val="clear" w:color="auto" w:fill="DEEEF2"/>
          </w:tcPr>
          <w:p w:rsidR="00B040FF" w:rsidRPr="0073309E" w:rsidRDefault="00B040FF" w:rsidP="009E009B">
            <w:pPr>
              <w:tabs>
                <w:tab w:val="left" w:pos="2268"/>
              </w:tabs>
              <w:spacing w:before="120" w:after="0" w:line="240" w:lineRule="auto"/>
              <w:ind w:left="79"/>
              <w:jc w:val="both"/>
              <w:rPr>
                <w:rFonts w:ascii="Calibri" w:eastAsia="Times New Roman" w:hAnsi="Calibri" w:cs="Times New Roman"/>
                <w:sz w:val="20"/>
                <w:szCs w:val="24"/>
              </w:rPr>
            </w:pPr>
          </w:p>
        </w:tc>
        <w:tc>
          <w:tcPr>
            <w:tcW w:w="1201" w:type="pct"/>
            <w:shd w:val="clear" w:color="auto" w:fill="DEEEF2"/>
          </w:tcPr>
          <w:p w:rsidR="00B040FF" w:rsidRPr="0073309E" w:rsidRDefault="00B040FF" w:rsidP="009E009B">
            <w:pPr>
              <w:tabs>
                <w:tab w:val="left" w:pos="2268"/>
              </w:tabs>
              <w:spacing w:before="120" w:after="0" w:line="240" w:lineRule="auto"/>
              <w:ind w:left="79"/>
              <w:jc w:val="both"/>
              <w:rPr>
                <w:rFonts w:ascii="Calibri" w:eastAsia="Times New Roman" w:hAnsi="Calibri" w:cs="Times New Roman"/>
                <w:sz w:val="20"/>
                <w:szCs w:val="24"/>
              </w:rPr>
            </w:pPr>
          </w:p>
        </w:tc>
      </w:tr>
      <w:tr w:rsidR="0073309E" w:rsidRPr="0073309E" w:rsidTr="00ED50CF">
        <w:trPr>
          <w:trHeight w:val="489"/>
        </w:trPr>
        <w:tc>
          <w:tcPr>
            <w:tcW w:w="451" w:type="pct"/>
            <w:vMerge/>
            <w:vAlign w:val="center"/>
            <w:hideMark/>
          </w:tcPr>
          <w:p w:rsidR="00B040FF" w:rsidRPr="003572A0" w:rsidRDefault="00B040FF" w:rsidP="003572A0">
            <w:pPr>
              <w:spacing w:after="0" w:line="240" w:lineRule="auto"/>
              <w:rPr>
                <w:rFonts w:ascii="Calibri" w:eastAsia="Tahoma" w:hAnsi="Calibri" w:cs="Times New Roman"/>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Relations entre types d’acteurs</w:t>
            </w:r>
          </w:p>
        </w:tc>
        <w:tc>
          <w:tcPr>
            <w:tcW w:w="810" w:type="pct"/>
            <w:shd w:val="clear" w:color="auto" w:fill="EEF3F8"/>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Crise de légitimité des instances politiques</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Crise de confiance des citoyens envers le politique.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lastRenderedPageBreak/>
              <w:t>Faible implication des acteurs économiques dans la transition écologique</w:t>
            </w:r>
          </w:p>
          <w:p w:rsidR="00B040FF" w:rsidRPr="003572A0" w:rsidRDefault="00B040FF" w:rsidP="00E71E1D">
            <w:pPr>
              <w:numPr>
                <w:ilvl w:val="0"/>
                <w:numId w:val="1"/>
              </w:numPr>
              <w:tabs>
                <w:tab w:val="left" w:pos="2268"/>
              </w:tabs>
              <w:spacing w:before="120" w:after="0" w:line="240" w:lineRule="auto"/>
              <w:ind w:left="202" w:hanging="142"/>
              <w:rPr>
                <w:rFonts w:ascii="Calibri" w:eastAsia="Times New Roman" w:hAnsi="Calibri" w:cs="Times New Roman"/>
                <w:sz w:val="20"/>
                <w:szCs w:val="24"/>
              </w:rPr>
            </w:pPr>
            <w:r w:rsidRPr="003572A0">
              <w:rPr>
                <w:rFonts w:ascii="Calibri" w:eastAsia="Times New Roman" w:hAnsi="Calibri" w:cs="Times New Roman"/>
                <w:sz w:val="20"/>
                <w:szCs w:val="24"/>
              </w:rPr>
              <w:t>Importance des relations contractuelles entre collectivités et associations</w:t>
            </w:r>
          </w:p>
        </w:tc>
        <w:tc>
          <w:tcPr>
            <w:tcW w:w="913" w:type="pct"/>
            <w:shd w:val="clear" w:color="auto" w:fill="DEEEF2"/>
            <w:tcMar>
              <w:top w:w="57" w:type="dxa"/>
              <w:left w:w="57" w:type="dxa"/>
              <w:bottom w:w="57" w:type="dxa"/>
              <w:right w:w="57" w:type="dxa"/>
            </w:tcMar>
            <w:vAlign w:val="center"/>
            <w:hideMark/>
          </w:tcPr>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lastRenderedPageBreak/>
              <w:t>Recours croissant aux démarches de contribution pour partager la responsabilité et rapprocher les décideurs des citoyens</w:t>
            </w:r>
          </w:p>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lastRenderedPageBreak/>
              <w:t>Évolution du rôle de la collectivité (contractualisation, responsabilité partagée, rôle de coordonnateur)</w:t>
            </w:r>
          </w:p>
          <w:p w:rsidR="00B040FF" w:rsidRPr="003572A0" w:rsidRDefault="00B040FF" w:rsidP="00E71E1D">
            <w:pPr>
              <w:numPr>
                <w:ilvl w:val="0"/>
                <w:numId w:val="1"/>
              </w:numPr>
              <w:tabs>
                <w:tab w:val="left" w:pos="2268"/>
              </w:tabs>
              <w:spacing w:before="120" w:after="0" w:line="240" w:lineRule="auto"/>
              <w:ind w:left="221" w:hanging="142"/>
              <w:rPr>
                <w:rFonts w:ascii="Calibri" w:eastAsia="Times New Roman" w:hAnsi="Calibri" w:cs="Times New Roman"/>
                <w:sz w:val="20"/>
                <w:szCs w:val="24"/>
              </w:rPr>
            </w:pPr>
            <w:r w:rsidRPr="003572A0">
              <w:rPr>
                <w:rFonts w:ascii="Calibri" w:eastAsia="Times New Roman" w:hAnsi="Calibri" w:cs="Times New Roman"/>
                <w:sz w:val="20"/>
                <w:szCs w:val="24"/>
              </w:rPr>
              <w:t>Volonté croissante d'impliquer les acteurs économiques dans les démarches de transition écologique</w:t>
            </w:r>
          </w:p>
        </w:tc>
        <w:tc>
          <w:tcPr>
            <w:tcW w:w="1167" w:type="pct"/>
            <w:vMerge/>
            <w:shd w:val="clear" w:color="auto" w:fill="DEEEF2"/>
          </w:tcPr>
          <w:p w:rsidR="00B040FF" w:rsidRPr="0073309E" w:rsidRDefault="00B040FF" w:rsidP="009E009B">
            <w:pPr>
              <w:tabs>
                <w:tab w:val="left" w:pos="2268"/>
              </w:tabs>
              <w:spacing w:before="120" w:after="0" w:line="240" w:lineRule="auto"/>
              <w:ind w:left="79"/>
              <w:jc w:val="both"/>
              <w:rPr>
                <w:rFonts w:ascii="Calibri" w:eastAsia="Times New Roman" w:hAnsi="Calibri" w:cs="Times New Roman"/>
                <w:sz w:val="20"/>
                <w:szCs w:val="24"/>
              </w:rPr>
            </w:pPr>
          </w:p>
        </w:tc>
        <w:tc>
          <w:tcPr>
            <w:tcW w:w="1201" w:type="pct"/>
            <w:shd w:val="clear" w:color="auto" w:fill="DEEEF2"/>
          </w:tcPr>
          <w:p w:rsidR="00B040FF" w:rsidRPr="0073309E" w:rsidRDefault="00B040FF" w:rsidP="009E009B">
            <w:pPr>
              <w:tabs>
                <w:tab w:val="left" w:pos="2268"/>
              </w:tabs>
              <w:spacing w:before="120" w:after="0" w:line="240" w:lineRule="auto"/>
              <w:ind w:left="79"/>
              <w:jc w:val="both"/>
              <w:rPr>
                <w:rFonts w:ascii="Calibri" w:eastAsia="Times New Roman" w:hAnsi="Calibri" w:cs="Times New Roman"/>
                <w:sz w:val="20"/>
                <w:szCs w:val="24"/>
              </w:rPr>
            </w:pPr>
          </w:p>
        </w:tc>
      </w:tr>
      <w:tr w:rsidR="0073309E" w:rsidRPr="0073309E" w:rsidTr="00ED50CF">
        <w:trPr>
          <w:trHeight w:val="1766"/>
        </w:trPr>
        <w:tc>
          <w:tcPr>
            <w:tcW w:w="451" w:type="pct"/>
            <w:vMerge/>
            <w:vAlign w:val="center"/>
            <w:hideMark/>
          </w:tcPr>
          <w:p w:rsidR="00B040FF" w:rsidRPr="003572A0" w:rsidRDefault="00B040FF" w:rsidP="003572A0">
            <w:pPr>
              <w:spacing w:after="0" w:line="240" w:lineRule="auto"/>
              <w:rPr>
                <w:rFonts w:ascii="Calibri" w:eastAsia="Tahoma" w:hAnsi="Calibri" w:cs="Times New Roman"/>
                <w:sz w:val="20"/>
                <w:szCs w:val="24"/>
              </w:rPr>
            </w:pPr>
          </w:p>
        </w:tc>
        <w:tc>
          <w:tcPr>
            <w:tcW w:w="458" w:type="pct"/>
            <w:shd w:val="clear" w:color="auto" w:fill="auto"/>
            <w:tcMar>
              <w:top w:w="3" w:type="dxa"/>
              <w:left w:w="3" w:type="dxa"/>
              <w:bottom w:w="0" w:type="dxa"/>
              <w:right w:w="3" w:type="dxa"/>
            </w:tcMar>
            <w:vAlign w:val="center"/>
            <w:hideMark/>
          </w:tcPr>
          <w:p w:rsidR="00B040FF" w:rsidRPr="003572A0" w:rsidRDefault="00B040FF" w:rsidP="003572A0">
            <w:pPr>
              <w:spacing w:after="0" w:line="240" w:lineRule="auto"/>
              <w:jc w:val="center"/>
              <w:rPr>
                <w:rFonts w:ascii="Calibri" w:eastAsia="Tahoma" w:hAnsi="Calibri" w:cs="Times New Roman"/>
                <w:color w:val="385D8A"/>
                <w:sz w:val="20"/>
                <w:szCs w:val="24"/>
              </w:rPr>
            </w:pPr>
            <w:r w:rsidRPr="003572A0">
              <w:rPr>
                <w:rFonts w:ascii="Calibri" w:eastAsia="Tahoma" w:hAnsi="Calibri" w:cs="Times New Roman"/>
                <w:i/>
                <w:iCs/>
                <w:color w:val="385D8A"/>
                <w:sz w:val="20"/>
                <w:szCs w:val="24"/>
              </w:rPr>
              <w:t>Moyens et capacités d'actions des groupes d'acteurs</w:t>
            </w:r>
          </w:p>
        </w:tc>
        <w:tc>
          <w:tcPr>
            <w:tcW w:w="810" w:type="pct"/>
            <w:shd w:val="clear" w:color="auto" w:fill="EEF3F8"/>
            <w:tcMar>
              <w:top w:w="57" w:type="dxa"/>
              <w:left w:w="57" w:type="dxa"/>
              <w:bottom w:w="57" w:type="dxa"/>
              <w:right w:w="57" w:type="dxa"/>
            </w:tcMar>
            <w:vAlign w:val="center"/>
            <w:hideMark/>
          </w:tcPr>
          <w:p w:rsidR="00B040FF" w:rsidRPr="003572A0" w:rsidRDefault="00B040FF" w:rsidP="003572A0">
            <w:pPr>
              <w:numPr>
                <w:ilvl w:val="0"/>
                <w:numId w:val="1"/>
              </w:numPr>
              <w:tabs>
                <w:tab w:val="left" w:pos="2268"/>
              </w:tabs>
              <w:spacing w:before="120" w:after="0" w:line="240" w:lineRule="auto"/>
              <w:ind w:left="202"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Renforcement de l'ingénierie locale (échelle intercommunale)</w:t>
            </w:r>
          </w:p>
          <w:p w:rsidR="00B040FF" w:rsidRPr="003572A0" w:rsidRDefault="00B040FF" w:rsidP="003572A0">
            <w:pPr>
              <w:numPr>
                <w:ilvl w:val="0"/>
                <w:numId w:val="1"/>
              </w:numPr>
              <w:tabs>
                <w:tab w:val="left" w:pos="2268"/>
              </w:tabs>
              <w:spacing w:before="120" w:after="0" w:line="240" w:lineRule="auto"/>
              <w:ind w:left="202"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Disparités croissantes entre milieu urbain et milieu rural</w:t>
            </w:r>
          </w:p>
          <w:p w:rsidR="00B040FF" w:rsidRPr="003572A0" w:rsidRDefault="00B040FF" w:rsidP="003572A0">
            <w:pPr>
              <w:numPr>
                <w:ilvl w:val="0"/>
                <w:numId w:val="1"/>
              </w:numPr>
              <w:tabs>
                <w:tab w:val="left" w:pos="2268"/>
              </w:tabs>
              <w:spacing w:before="120" w:after="0" w:line="240" w:lineRule="auto"/>
              <w:ind w:left="202"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tension croissante sur les finances des associations</w:t>
            </w:r>
          </w:p>
          <w:p w:rsidR="00B040FF" w:rsidRPr="003572A0" w:rsidRDefault="00B040FF" w:rsidP="003572A0">
            <w:pPr>
              <w:numPr>
                <w:ilvl w:val="0"/>
                <w:numId w:val="1"/>
              </w:numPr>
              <w:tabs>
                <w:tab w:val="left" w:pos="2268"/>
              </w:tabs>
              <w:spacing w:before="120" w:after="0" w:line="240" w:lineRule="auto"/>
              <w:ind w:left="202"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Recul des moyens d'action publics (tension croissante sur les finances des collectivités, complexité croissante des phénomènes)</w:t>
            </w:r>
          </w:p>
          <w:p w:rsidR="00B040FF" w:rsidRPr="003572A0" w:rsidRDefault="00B040FF" w:rsidP="003572A0">
            <w:pPr>
              <w:numPr>
                <w:ilvl w:val="0"/>
                <w:numId w:val="1"/>
              </w:numPr>
              <w:tabs>
                <w:tab w:val="left" w:pos="2268"/>
              </w:tabs>
              <w:spacing w:before="120" w:after="0" w:line="240" w:lineRule="auto"/>
              <w:ind w:left="202"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Crise des corps intermédiaires</w:t>
            </w:r>
          </w:p>
          <w:p w:rsidR="00B040FF" w:rsidRPr="003572A0" w:rsidRDefault="00B040FF" w:rsidP="003572A0">
            <w:pPr>
              <w:numPr>
                <w:ilvl w:val="0"/>
                <w:numId w:val="1"/>
              </w:numPr>
              <w:tabs>
                <w:tab w:val="left" w:pos="2268"/>
              </w:tabs>
              <w:spacing w:before="120" w:after="0" w:line="240" w:lineRule="auto"/>
              <w:ind w:left="202"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Volatilité du bénévolat</w:t>
            </w:r>
          </w:p>
        </w:tc>
        <w:tc>
          <w:tcPr>
            <w:tcW w:w="913" w:type="pct"/>
            <w:shd w:val="clear" w:color="auto" w:fill="DEEEF2"/>
            <w:tcMar>
              <w:top w:w="57" w:type="dxa"/>
              <w:left w:w="57" w:type="dxa"/>
              <w:bottom w:w="57" w:type="dxa"/>
              <w:right w:w="57" w:type="dxa"/>
            </w:tcMar>
            <w:vAlign w:val="center"/>
            <w:hideMark/>
          </w:tcPr>
          <w:p w:rsidR="00B040FF" w:rsidRPr="003572A0" w:rsidRDefault="00B040FF" w:rsidP="003572A0">
            <w:pPr>
              <w:numPr>
                <w:ilvl w:val="0"/>
                <w:numId w:val="1"/>
              </w:numPr>
              <w:tabs>
                <w:tab w:val="left" w:pos="2268"/>
              </w:tabs>
              <w:spacing w:before="120" w:after="0" w:line="240" w:lineRule="auto"/>
              <w:ind w:left="221"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Développement du recours à de nouvelles formes de financement (participation des entreprises, épargne solidaire…)</w:t>
            </w:r>
          </w:p>
          <w:p w:rsidR="00B040FF" w:rsidRPr="003572A0" w:rsidRDefault="00B040FF" w:rsidP="003572A0">
            <w:pPr>
              <w:numPr>
                <w:ilvl w:val="0"/>
                <w:numId w:val="1"/>
              </w:numPr>
              <w:tabs>
                <w:tab w:val="left" w:pos="2268"/>
              </w:tabs>
              <w:spacing w:before="120" w:after="0" w:line="240" w:lineRule="auto"/>
              <w:ind w:left="221"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Recul des moyens financiers des associations</w:t>
            </w:r>
          </w:p>
          <w:p w:rsidR="00B040FF" w:rsidRPr="003572A0" w:rsidRDefault="00B040FF" w:rsidP="003572A0">
            <w:pPr>
              <w:numPr>
                <w:ilvl w:val="0"/>
                <w:numId w:val="1"/>
              </w:numPr>
              <w:tabs>
                <w:tab w:val="left" w:pos="2268"/>
              </w:tabs>
              <w:spacing w:before="120" w:after="0" w:line="240" w:lineRule="auto"/>
              <w:ind w:left="221"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Réflexions émergentes autour de la professionnalisation des différentes formes de contribution</w:t>
            </w:r>
          </w:p>
          <w:p w:rsidR="00B040FF" w:rsidRPr="003572A0" w:rsidRDefault="00B040FF" w:rsidP="003572A0">
            <w:pPr>
              <w:numPr>
                <w:ilvl w:val="0"/>
                <w:numId w:val="1"/>
              </w:numPr>
              <w:tabs>
                <w:tab w:val="left" w:pos="2268"/>
              </w:tabs>
              <w:spacing w:before="120" w:after="0" w:line="240" w:lineRule="auto"/>
              <w:ind w:left="221" w:hanging="142"/>
              <w:jc w:val="both"/>
              <w:rPr>
                <w:rFonts w:ascii="Calibri" w:eastAsia="Times New Roman" w:hAnsi="Calibri" w:cs="Times New Roman"/>
                <w:sz w:val="20"/>
                <w:szCs w:val="24"/>
              </w:rPr>
            </w:pPr>
            <w:r w:rsidRPr="003572A0">
              <w:rPr>
                <w:rFonts w:ascii="Calibri" w:eastAsia="Times New Roman" w:hAnsi="Calibri" w:cs="Times New Roman"/>
                <w:sz w:val="20"/>
                <w:szCs w:val="24"/>
              </w:rPr>
              <w:t>Risque de remise en cause profonde du modèle social français</w:t>
            </w:r>
          </w:p>
        </w:tc>
        <w:tc>
          <w:tcPr>
            <w:tcW w:w="1167" w:type="pct"/>
            <w:vMerge/>
            <w:shd w:val="clear" w:color="auto" w:fill="DEEEF2"/>
          </w:tcPr>
          <w:p w:rsidR="00B040FF" w:rsidRPr="0073309E" w:rsidRDefault="00B040FF" w:rsidP="009E009B">
            <w:pPr>
              <w:tabs>
                <w:tab w:val="left" w:pos="2268"/>
              </w:tabs>
              <w:spacing w:before="120" w:after="0" w:line="240" w:lineRule="auto"/>
              <w:ind w:left="221"/>
              <w:jc w:val="both"/>
              <w:rPr>
                <w:rFonts w:ascii="Calibri" w:eastAsia="Times New Roman" w:hAnsi="Calibri" w:cs="Times New Roman"/>
                <w:sz w:val="20"/>
                <w:szCs w:val="24"/>
              </w:rPr>
            </w:pPr>
          </w:p>
        </w:tc>
        <w:tc>
          <w:tcPr>
            <w:tcW w:w="1201" w:type="pct"/>
            <w:shd w:val="clear" w:color="auto" w:fill="DEEEF2"/>
          </w:tcPr>
          <w:p w:rsidR="00B040FF" w:rsidRPr="0073309E" w:rsidRDefault="00B040FF" w:rsidP="009E009B">
            <w:pPr>
              <w:tabs>
                <w:tab w:val="left" w:pos="2268"/>
              </w:tabs>
              <w:spacing w:before="120" w:after="0" w:line="240" w:lineRule="auto"/>
              <w:ind w:left="221"/>
              <w:jc w:val="both"/>
              <w:rPr>
                <w:rFonts w:ascii="Calibri" w:eastAsia="Times New Roman" w:hAnsi="Calibri" w:cs="Times New Roman"/>
                <w:sz w:val="20"/>
                <w:szCs w:val="24"/>
              </w:rPr>
            </w:pPr>
          </w:p>
        </w:tc>
      </w:tr>
    </w:tbl>
    <w:p w:rsidR="003572A0" w:rsidRPr="003572A0" w:rsidRDefault="003572A0" w:rsidP="003572A0">
      <w:pPr>
        <w:spacing w:after="0" w:line="240" w:lineRule="auto"/>
        <w:jc w:val="both"/>
        <w:rPr>
          <w:rFonts w:ascii="Calibri" w:eastAsia="Tahoma" w:hAnsi="Calibri" w:cs="Times New Roman"/>
          <w:szCs w:val="24"/>
        </w:rPr>
      </w:pPr>
    </w:p>
    <w:p w:rsidR="003572A0" w:rsidRPr="003572A0" w:rsidRDefault="003572A0" w:rsidP="003572A0">
      <w:pPr>
        <w:spacing w:after="0" w:line="240" w:lineRule="auto"/>
        <w:rPr>
          <w:rFonts w:ascii="Calibri" w:eastAsia="Tahoma" w:hAnsi="Calibri" w:cs="Times New Roman"/>
          <w:szCs w:val="24"/>
        </w:rPr>
        <w:sectPr w:rsidR="003572A0" w:rsidRPr="003572A0" w:rsidSect="00543D93">
          <w:footerReference w:type="default" r:id="rId8"/>
          <w:footerReference w:type="first" r:id="rId9"/>
          <w:type w:val="continuous"/>
          <w:pgSz w:w="16839" w:h="23814" w:code="8"/>
          <w:pgMar w:top="1417" w:right="1417" w:bottom="1417" w:left="1417" w:header="708" w:footer="708" w:gutter="0"/>
          <w:pgNumType w:start="1"/>
          <w:cols w:space="708"/>
          <w:titlePg/>
          <w:docGrid w:linePitch="360"/>
        </w:sectPr>
      </w:pPr>
      <w:r w:rsidRPr="003572A0">
        <w:rPr>
          <w:rFonts w:ascii="Calibri" w:eastAsia="Tahoma" w:hAnsi="Calibri" w:cs="Times New Roman"/>
          <w:szCs w:val="24"/>
        </w:rPr>
        <w:br w:type="page"/>
      </w:r>
    </w:p>
    <w:p w:rsidR="003572A0" w:rsidRPr="003572A0" w:rsidRDefault="003572A0" w:rsidP="003572A0">
      <w:pPr>
        <w:keepNext/>
        <w:widowControl w:val="0"/>
        <w:numPr>
          <w:ilvl w:val="1"/>
          <w:numId w:val="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60" w:line="240" w:lineRule="auto"/>
        <w:ind w:left="2980" w:hanging="2980"/>
        <w:outlineLvl w:val="1"/>
        <w:rPr>
          <w:rFonts w:ascii="Calibri" w:eastAsia="Tahoma" w:hAnsi="Calibri" w:cs="Times New Roman"/>
          <w:b/>
          <w:bCs/>
          <w:iCs/>
          <w:color w:val="7F1364"/>
          <w:sz w:val="24"/>
          <w:szCs w:val="24"/>
          <w:lang w:eastAsia="fr-FR"/>
        </w:rPr>
      </w:pPr>
      <w:bookmarkStart w:id="2" w:name="_Toc399946075"/>
      <w:r w:rsidRPr="003572A0">
        <w:rPr>
          <w:rFonts w:ascii="Calibri" w:eastAsia="Tahoma" w:hAnsi="Calibri" w:cs="Times New Roman"/>
          <w:b/>
          <w:bCs/>
          <w:iCs/>
          <w:color w:val="7F1364"/>
          <w:sz w:val="24"/>
          <w:szCs w:val="24"/>
          <w:lang w:eastAsia="fr-FR"/>
        </w:rPr>
        <w:lastRenderedPageBreak/>
        <w:t>Un environnement global mais aussi des dynamiques locales</w:t>
      </w:r>
      <w:bookmarkEnd w:id="2"/>
    </w:p>
    <w:p w:rsidR="003572A0" w:rsidRPr="003572A0" w:rsidRDefault="003572A0" w:rsidP="003572A0">
      <w:pPr>
        <w:spacing w:after="0" w:line="240" w:lineRule="auto"/>
        <w:jc w:val="both"/>
        <w:rPr>
          <w:rFonts w:ascii="Calibri" w:eastAsia="Tahoma" w:hAnsi="Calibri" w:cs="Times New Roman"/>
          <w:szCs w:val="24"/>
        </w:rPr>
      </w:pPr>
    </w:p>
    <w:p w:rsidR="003572A0" w:rsidRPr="003572A0" w:rsidRDefault="003572A0" w:rsidP="003572A0">
      <w:pPr>
        <w:spacing w:after="0" w:line="240" w:lineRule="auto"/>
        <w:jc w:val="both"/>
        <w:rPr>
          <w:rFonts w:ascii="Calibri" w:eastAsia="Tahoma" w:hAnsi="Calibri" w:cs="Times New Roman"/>
          <w:szCs w:val="24"/>
        </w:rPr>
      </w:pPr>
      <w:r w:rsidRPr="003572A0">
        <w:rPr>
          <w:rFonts w:ascii="Calibri" w:eastAsia="Tahoma" w:hAnsi="Calibri" w:cs="Times New Roman"/>
          <w:szCs w:val="24"/>
        </w:rPr>
        <w:t>Les variables externes vont avoir une influence plus ou moins importante sur les dynamiques locales d</w:t>
      </w:r>
      <w:r w:rsidR="009766BF">
        <w:rPr>
          <w:rFonts w:ascii="Calibri" w:eastAsia="Tahoma" w:hAnsi="Calibri" w:cs="Times New Roman"/>
          <w:szCs w:val="24"/>
        </w:rPr>
        <w:t>e votre</w:t>
      </w:r>
      <w:r w:rsidRPr="003572A0">
        <w:rPr>
          <w:rFonts w:ascii="Calibri" w:eastAsia="Tahoma" w:hAnsi="Calibri" w:cs="Times New Roman"/>
          <w:szCs w:val="24"/>
        </w:rPr>
        <w:t xml:space="preserve"> territoire, matérialisées par les </w:t>
      </w:r>
      <w:r w:rsidRPr="003572A0">
        <w:rPr>
          <w:rFonts w:ascii="Calibri" w:eastAsia="Tahoma" w:hAnsi="Calibri" w:cs="Times New Roman"/>
          <w:b/>
          <w:szCs w:val="24"/>
        </w:rPr>
        <w:t>variables internes</w:t>
      </w:r>
      <w:r w:rsidRPr="003572A0">
        <w:rPr>
          <w:rFonts w:ascii="Calibri" w:eastAsia="Tahoma" w:hAnsi="Calibri" w:cs="Times New Roman"/>
          <w:szCs w:val="24"/>
        </w:rPr>
        <w:t> :</w:t>
      </w:r>
    </w:p>
    <w:p w:rsidR="003572A0" w:rsidRPr="003572A0" w:rsidRDefault="003572A0" w:rsidP="003572A0">
      <w:pPr>
        <w:spacing w:after="0" w:line="240" w:lineRule="auto"/>
        <w:jc w:val="both"/>
        <w:rPr>
          <w:rFonts w:ascii="Calibri" w:eastAsia="Tahoma" w:hAnsi="Calibri" w:cs="Times New Roman"/>
          <w:szCs w:val="24"/>
        </w:rPr>
      </w:pPr>
    </w:p>
    <w:p w:rsidR="003572A0" w:rsidRPr="003572A0" w:rsidRDefault="003572A0" w:rsidP="003572A0">
      <w:pPr>
        <w:spacing w:after="0" w:line="240" w:lineRule="auto"/>
        <w:jc w:val="center"/>
        <w:rPr>
          <w:rFonts w:ascii="Calibri" w:eastAsia="Tahoma" w:hAnsi="Calibri" w:cs="Times New Roman"/>
          <w:szCs w:val="24"/>
        </w:rPr>
      </w:pPr>
      <w:r w:rsidRPr="003572A0">
        <w:rPr>
          <w:rFonts w:ascii="Calibri" w:eastAsia="Tahoma" w:hAnsi="Calibri" w:cs="Times New Roman"/>
          <w:noProof/>
          <w:szCs w:val="24"/>
          <w:lang w:eastAsia="fr-FR"/>
        </w:rPr>
        <w:drawing>
          <wp:inline distT="0" distB="0" distL="0" distR="0" wp14:anchorId="30B8DC22" wp14:editId="3EE1CF81">
            <wp:extent cx="4744355" cy="327115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riables intern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63491" cy="3284349"/>
                    </a:xfrm>
                    <a:prstGeom prst="rect">
                      <a:avLst/>
                    </a:prstGeom>
                  </pic:spPr>
                </pic:pic>
              </a:graphicData>
            </a:graphic>
          </wp:inline>
        </w:drawing>
      </w:r>
    </w:p>
    <w:p w:rsidR="003572A0" w:rsidRPr="003572A0" w:rsidRDefault="003572A0" w:rsidP="003572A0">
      <w:pPr>
        <w:spacing w:after="0" w:line="240" w:lineRule="auto"/>
        <w:jc w:val="center"/>
        <w:rPr>
          <w:rFonts w:ascii="Calibri" w:eastAsia="Tahoma" w:hAnsi="Calibri" w:cs="Times New Roman"/>
          <w:szCs w:val="24"/>
        </w:rPr>
      </w:pPr>
    </w:p>
    <w:p w:rsidR="003572A0" w:rsidRPr="003572A0" w:rsidRDefault="003572A0" w:rsidP="003572A0">
      <w:pPr>
        <w:numPr>
          <w:ilvl w:val="0"/>
          <w:numId w:val="6"/>
        </w:numPr>
        <w:tabs>
          <w:tab w:val="left" w:pos="2268"/>
        </w:tabs>
        <w:spacing w:before="120" w:after="120" w:line="240" w:lineRule="auto"/>
        <w:jc w:val="both"/>
        <w:rPr>
          <w:rFonts w:ascii="Calibri" w:eastAsia="Times New Roman" w:hAnsi="Calibri" w:cs="Calibri"/>
          <w:szCs w:val="20"/>
        </w:rPr>
      </w:pPr>
      <w:r w:rsidRPr="003572A0">
        <w:rPr>
          <w:rFonts w:ascii="Calibri" w:eastAsia="Times New Roman" w:hAnsi="Calibri" w:cs="Calibri"/>
          <w:szCs w:val="20"/>
        </w:rPr>
        <w:t xml:space="preserve">Les </w:t>
      </w:r>
      <w:r w:rsidRPr="003572A0">
        <w:rPr>
          <w:rFonts w:ascii="Calibri" w:eastAsia="Times New Roman" w:hAnsi="Calibri" w:cs="Calibri"/>
          <w:b/>
          <w:szCs w:val="20"/>
        </w:rPr>
        <w:t>variables motrices</w:t>
      </w:r>
      <w:r w:rsidRPr="003572A0">
        <w:rPr>
          <w:rFonts w:ascii="Calibri" w:eastAsia="Times New Roman" w:hAnsi="Calibri" w:cs="Calibri"/>
          <w:szCs w:val="20"/>
        </w:rPr>
        <w:t>, sont des variables au cœur de la dynamique de contribution,</w:t>
      </w:r>
    </w:p>
    <w:p w:rsidR="003572A0" w:rsidRPr="003572A0" w:rsidRDefault="003572A0" w:rsidP="003572A0">
      <w:pPr>
        <w:numPr>
          <w:ilvl w:val="0"/>
          <w:numId w:val="6"/>
        </w:numPr>
        <w:tabs>
          <w:tab w:val="left" w:pos="2268"/>
        </w:tabs>
        <w:spacing w:before="120" w:after="120" w:line="240" w:lineRule="auto"/>
        <w:jc w:val="both"/>
        <w:rPr>
          <w:rFonts w:ascii="Calibri" w:eastAsia="Times New Roman" w:hAnsi="Calibri" w:cs="Calibri"/>
          <w:szCs w:val="20"/>
        </w:rPr>
      </w:pPr>
      <w:r w:rsidRPr="003572A0">
        <w:rPr>
          <w:rFonts w:ascii="Calibri" w:eastAsia="Times New Roman" w:hAnsi="Calibri" w:cs="Calibri"/>
          <w:szCs w:val="20"/>
        </w:rPr>
        <w:t xml:space="preserve">Les </w:t>
      </w:r>
      <w:r w:rsidRPr="003572A0">
        <w:rPr>
          <w:rFonts w:ascii="Calibri" w:eastAsia="Times New Roman" w:hAnsi="Calibri" w:cs="Calibri"/>
          <w:b/>
          <w:szCs w:val="20"/>
        </w:rPr>
        <w:t>variables d’influence</w:t>
      </w:r>
      <w:r w:rsidRPr="003572A0">
        <w:rPr>
          <w:rFonts w:ascii="Calibri" w:eastAsia="Times New Roman" w:hAnsi="Calibri" w:cs="Calibri"/>
          <w:szCs w:val="20"/>
        </w:rPr>
        <w:t>, sont des variables qui vont avoir des effets plus ou moins importants sur cette dynamique,</w:t>
      </w:r>
    </w:p>
    <w:p w:rsidR="0073309E" w:rsidRPr="003572A0" w:rsidRDefault="003572A0" w:rsidP="0073309E">
      <w:pPr>
        <w:numPr>
          <w:ilvl w:val="0"/>
          <w:numId w:val="6"/>
        </w:numPr>
        <w:tabs>
          <w:tab w:val="left" w:pos="2268"/>
        </w:tabs>
        <w:spacing w:before="120" w:after="120" w:line="240" w:lineRule="auto"/>
        <w:jc w:val="both"/>
        <w:rPr>
          <w:rFonts w:ascii="Calibri" w:eastAsia="Times New Roman" w:hAnsi="Calibri" w:cs="Calibri"/>
          <w:szCs w:val="20"/>
        </w:rPr>
      </w:pPr>
      <w:r w:rsidRPr="003572A0">
        <w:rPr>
          <w:rFonts w:ascii="Calibri" w:eastAsia="Times New Roman" w:hAnsi="Calibri" w:cs="Calibri"/>
          <w:szCs w:val="20"/>
        </w:rPr>
        <w:t xml:space="preserve">Les </w:t>
      </w:r>
      <w:r w:rsidRPr="003572A0">
        <w:rPr>
          <w:rFonts w:ascii="Calibri" w:eastAsia="Times New Roman" w:hAnsi="Calibri" w:cs="Calibri"/>
          <w:b/>
          <w:szCs w:val="20"/>
        </w:rPr>
        <w:t>variables de résultat</w:t>
      </w:r>
      <w:r w:rsidRPr="003572A0">
        <w:rPr>
          <w:rFonts w:ascii="Calibri" w:eastAsia="Times New Roman" w:hAnsi="Calibri" w:cs="Calibri"/>
          <w:szCs w:val="20"/>
        </w:rPr>
        <w:t xml:space="preserve"> vont concerner les effets de cette contribution sur l’ensemble de la démarche ou sur le territoire.</w:t>
      </w:r>
    </w:p>
    <w:p w:rsidR="003572A0" w:rsidRPr="003572A0" w:rsidRDefault="003572A0" w:rsidP="003572A0">
      <w:pPr>
        <w:spacing w:after="0" w:line="240" w:lineRule="auto"/>
        <w:jc w:val="both"/>
        <w:rPr>
          <w:rFonts w:ascii="Calibri" w:eastAsia="Tahoma" w:hAnsi="Calibri" w:cs="Times New Roman"/>
          <w:szCs w:val="24"/>
        </w:rPr>
      </w:pPr>
    </w:p>
    <w:p w:rsidR="003572A0" w:rsidRPr="003572A0" w:rsidRDefault="003572A0" w:rsidP="003572A0">
      <w:pPr>
        <w:spacing w:after="0" w:line="240" w:lineRule="auto"/>
        <w:jc w:val="both"/>
        <w:rPr>
          <w:rFonts w:ascii="Calibri" w:eastAsia="Tahoma" w:hAnsi="Calibri" w:cs="Times New Roman"/>
          <w:szCs w:val="24"/>
        </w:rPr>
      </w:pPr>
      <w:r w:rsidRPr="003572A0">
        <w:rPr>
          <w:rFonts w:ascii="Calibri" w:eastAsia="Tahoma" w:hAnsi="Calibri" w:cs="Times New Roman"/>
          <w:szCs w:val="24"/>
        </w:rPr>
        <w:t>Celles-ci vont largement dépendre du contexte de chaque territoire. Pour autant quelques tendances générales peuvent en être esquissées :</w:t>
      </w:r>
    </w:p>
    <w:p w:rsidR="0073309E" w:rsidRDefault="0073309E" w:rsidP="003572A0">
      <w:pPr>
        <w:spacing w:after="0" w:line="240" w:lineRule="auto"/>
        <w:jc w:val="both"/>
        <w:rPr>
          <w:rFonts w:ascii="Calibri" w:eastAsia="Tahoma" w:hAnsi="Calibri" w:cs="Times New Roman"/>
          <w:szCs w:val="24"/>
        </w:rPr>
      </w:pPr>
    </w:p>
    <w:p w:rsidR="00543D93" w:rsidRDefault="00543D93" w:rsidP="003572A0">
      <w:pPr>
        <w:spacing w:after="0" w:line="240" w:lineRule="auto"/>
        <w:jc w:val="both"/>
        <w:rPr>
          <w:rFonts w:ascii="Calibri" w:eastAsia="Tahoma" w:hAnsi="Calibri" w:cs="Times New Roman"/>
          <w:szCs w:val="24"/>
        </w:rPr>
      </w:pPr>
    </w:p>
    <w:p w:rsidR="0073309E" w:rsidRPr="003572A0" w:rsidRDefault="0073309E" w:rsidP="003572A0">
      <w:pPr>
        <w:spacing w:after="0" w:line="240" w:lineRule="auto"/>
        <w:jc w:val="both"/>
        <w:rPr>
          <w:rFonts w:ascii="Calibri" w:eastAsia="Tahoma" w:hAnsi="Calibri" w:cs="Times New Roman"/>
          <w:szCs w:val="24"/>
        </w:rPr>
      </w:pPr>
    </w:p>
    <w:tbl>
      <w:tblPr>
        <w:tblStyle w:val="Grilledutableau"/>
        <w:tblW w:w="4863" w:type="pct"/>
        <w:tblBorders>
          <w:top w:val="single" w:sz="12" w:space="0" w:color="E36C0A"/>
          <w:left w:val="single" w:sz="12" w:space="0" w:color="E36C0A"/>
          <w:bottom w:val="single" w:sz="12" w:space="0" w:color="E36C0A"/>
          <w:right w:val="single" w:sz="12" w:space="0" w:color="E36C0A"/>
          <w:insideH w:val="single" w:sz="12" w:space="0" w:color="E36C0A"/>
          <w:insideV w:val="single" w:sz="12" w:space="0" w:color="E36C0A"/>
        </w:tblBorders>
        <w:tblLayout w:type="fixed"/>
        <w:tblLook w:val="04A0" w:firstRow="1" w:lastRow="0" w:firstColumn="1" w:lastColumn="0" w:noHBand="0" w:noVBand="1"/>
      </w:tblPr>
      <w:tblGrid>
        <w:gridCol w:w="1265"/>
        <w:gridCol w:w="1840"/>
        <w:gridCol w:w="3262"/>
        <w:gridCol w:w="2835"/>
        <w:gridCol w:w="4390"/>
      </w:tblGrid>
      <w:tr w:rsidR="00AF678D" w:rsidRPr="003572A0" w:rsidTr="00AF678D">
        <w:trPr>
          <w:trHeight w:val="401"/>
        </w:trPr>
        <w:tc>
          <w:tcPr>
            <w:tcW w:w="1142" w:type="pct"/>
            <w:gridSpan w:val="2"/>
            <w:vAlign w:val="center"/>
          </w:tcPr>
          <w:p w:rsidR="00AF678D" w:rsidRPr="003572A0" w:rsidRDefault="00AF678D" w:rsidP="0073309E">
            <w:pPr>
              <w:jc w:val="center"/>
              <w:rPr>
                <w:rFonts w:ascii="Calibri" w:hAnsi="Calibri" w:cs="Calibri"/>
                <w:b/>
                <w:color w:val="E36C0A"/>
              </w:rPr>
            </w:pPr>
            <w:r w:rsidRPr="003572A0">
              <w:rPr>
                <w:rFonts w:ascii="Calibri" w:hAnsi="Calibri" w:cs="Calibri"/>
                <w:b/>
                <w:color w:val="E36C0A"/>
              </w:rPr>
              <w:t>Variables internes</w:t>
            </w:r>
          </w:p>
        </w:tc>
        <w:tc>
          <w:tcPr>
            <w:tcW w:w="1200" w:type="pct"/>
            <w:shd w:val="clear" w:color="auto" w:fill="FAC090"/>
            <w:vAlign w:val="center"/>
          </w:tcPr>
          <w:p w:rsidR="00AF678D" w:rsidRPr="003572A0" w:rsidRDefault="00AF678D" w:rsidP="0073309E">
            <w:pPr>
              <w:jc w:val="center"/>
              <w:rPr>
                <w:rFonts w:ascii="Calibri" w:hAnsi="Calibri" w:cs="Calibri"/>
                <w:b/>
              </w:rPr>
            </w:pPr>
            <w:r w:rsidRPr="003572A0">
              <w:rPr>
                <w:rFonts w:ascii="Calibri" w:hAnsi="Calibri" w:cs="Calibri"/>
                <w:b/>
              </w:rPr>
              <w:t>Tendances lourdes</w:t>
            </w:r>
          </w:p>
        </w:tc>
        <w:tc>
          <w:tcPr>
            <w:tcW w:w="1043" w:type="pct"/>
            <w:shd w:val="clear" w:color="auto" w:fill="FED2D2"/>
            <w:vAlign w:val="center"/>
          </w:tcPr>
          <w:p w:rsidR="00AF678D" w:rsidRPr="003572A0" w:rsidRDefault="00AF678D" w:rsidP="0073309E">
            <w:pPr>
              <w:jc w:val="center"/>
              <w:rPr>
                <w:rFonts w:ascii="Calibri" w:hAnsi="Calibri" w:cs="Calibri"/>
                <w:b/>
              </w:rPr>
            </w:pPr>
            <w:r w:rsidRPr="003572A0">
              <w:rPr>
                <w:rFonts w:ascii="Calibri" w:hAnsi="Calibri" w:cs="Calibri"/>
                <w:b/>
              </w:rPr>
              <w:t>Signaux faibles/faits émergents</w:t>
            </w:r>
          </w:p>
        </w:tc>
        <w:tc>
          <w:tcPr>
            <w:tcW w:w="1615" w:type="pct"/>
            <w:shd w:val="clear" w:color="auto" w:fill="FED2D2"/>
            <w:vAlign w:val="center"/>
          </w:tcPr>
          <w:p w:rsidR="00AF678D" w:rsidRPr="003572A0" w:rsidRDefault="00AF678D" w:rsidP="009E619F">
            <w:pPr>
              <w:jc w:val="center"/>
              <w:rPr>
                <w:rFonts w:ascii="Calibri" w:hAnsi="Calibri" w:cs="Calibri"/>
                <w:b/>
              </w:rPr>
            </w:pPr>
            <w:r>
              <w:rPr>
                <w:rFonts w:ascii="Calibri" w:hAnsi="Calibri" w:cs="Calibri"/>
                <w:b/>
              </w:rPr>
              <w:t>Particularités de votre territoire</w:t>
            </w:r>
          </w:p>
        </w:tc>
      </w:tr>
      <w:tr w:rsidR="00AF678D" w:rsidRPr="003572A0" w:rsidTr="00AF678D">
        <w:tc>
          <w:tcPr>
            <w:tcW w:w="465" w:type="pct"/>
            <w:vMerge w:val="restart"/>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spacing w:before="120"/>
              <w:rPr>
                <w:rFonts w:ascii="Calibri" w:hAnsi="Calibri" w:cs="Calibri"/>
                <w:b/>
              </w:rPr>
            </w:pPr>
            <w:r w:rsidRPr="003572A0">
              <w:rPr>
                <w:rFonts w:ascii="Calibri" w:hAnsi="Calibri" w:cs="Calibri"/>
                <w:b/>
                <w:color w:val="E36C0A"/>
              </w:rPr>
              <w:t>Variables d’influence</w:t>
            </w:r>
          </w:p>
          <w:p w:rsidR="00AF678D" w:rsidRPr="003572A0" w:rsidRDefault="00AF678D" w:rsidP="0073309E">
            <w:pPr>
              <w:rPr>
                <w:rFonts w:ascii="Calibri" w:hAnsi="Calibri" w:cs="Calibri"/>
                <w:b/>
              </w:rPr>
            </w:pPr>
          </w:p>
        </w:tc>
        <w:tc>
          <w:tcPr>
            <w:tcW w:w="677" w:type="pct"/>
            <w:tcBorders>
              <w:left w:val="single" w:sz="12" w:space="0" w:color="ED7D31" w:themeColor="accent2"/>
            </w:tcBorders>
            <w:vAlign w:val="center"/>
          </w:tcPr>
          <w:p w:rsidR="00AF678D" w:rsidRPr="003572A0" w:rsidRDefault="00AF678D" w:rsidP="0073309E">
            <w:pPr>
              <w:spacing w:before="120"/>
              <w:rPr>
                <w:rFonts w:ascii="Calibri" w:hAnsi="Calibri" w:cs="Calibri"/>
                <w:i/>
                <w:color w:val="E36C0A"/>
                <w:sz w:val="20"/>
              </w:rPr>
            </w:pPr>
            <w:r w:rsidRPr="003572A0">
              <w:rPr>
                <w:rFonts w:ascii="Calibri" w:hAnsi="Calibri" w:cs="Calibri"/>
                <w:i/>
                <w:color w:val="E36C0A"/>
                <w:sz w:val="20"/>
              </w:rPr>
              <w:t>Niveau d’engagement des acteurs</w:t>
            </w:r>
          </w:p>
        </w:tc>
        <w:tc>
          <w:tcPr>
            <w:tcW w:w="1200" w:type="pct"/>
            <w:shd w:val="clear" w:color="auto" w:fill="FEF1E6"/>
            <w:tcMar>
              <w:top w:w="57" w:type="dxa"/>
              <w:left w:w="57" w:type="dxa"/>
              <w:bottom w:w="57" w:type="dxa"/>
              <w:right w:w="57" w:type="dxa"/>
            </w:tcMar>
            <w:vAlign w:val="center"/>
          </w:tcPr>
          <w:p w:rsidR="00AF678D" w:rsidRPr="003572A0" w:rsidRDefault="00AF678D" w:rsidP="0073309E">
            <w:pPr>
              <w:rPr>
                <w:rFonts w:ascii="Calibri" w:hAnsi="Calibri" w:cs="Calibri"/>
                <w:sz w:val="20"/>
              </w:rPr>
            </w:pPr>
            <w:r w:rsidRPr="003572A0">
              <w:rPr>
                <w:rFonts w:ascii="Calibri" w:hAnsi="Calibri" w:cs="Calibri"/>
                <w:sz w:val="20"/>
              </w:rPr>
              <w:t>Baisse des budgets des collectivités locales.</w:t>
            </w:r>
          </w:p>
        </w:tc>
        <w:tc>
          <w:tcPr>
            <w:tcW w:w="1043" w:type="pct"/>
            <w:shd w:val="clear" w:color="auto" w:fill="FFF7F7"/>
            <w:tcMar>
              <w:top w:w="57" w:type="dxa"/>
              <w:left w:w="57" w:type="dxa"/>
              <w:bottom w:w="57" w:type="dxa"/>
              <w:right w:w="57" w:type="dxa"/>
            </w:tcMar>
            <w:vAlign w:val="center"/>
          </w:tcPr>
          <w:p w:rsidR="00AF678D" w:rsidRPr="003572A0" w:rsidRDefault="00AF678D" w:rsidP="0073309E">
            <w:pPr>
              <w:rPr>
                <w:rFonts w:ascii="Calibri" w:hAnsi="Calibri" w:cs="Calibri"/>
                <w:sz w:val="20"/>
              </w:rPr>
            </w:pPr>
            <w:r w:rsidRPr="003572A0">
              <w:rPr>
                <w:rFonts w:ascii="Calibri" w:hAnsi="Calibri" w:cs="Calibri"/>
                <w:sz w:val="20"/>
              </w:rPr>
              <w:t>Développement de la contribution dans les projets complexes.</w:t>
            </w:r>
          </w:p>
        </w:tc>
        <w:tc>
          <w:tcPr>
            <w:tcW w:w="1615" w:type="pct"/>
            <w:shd w:val="clear" w:color="auto" w:fill="FFF7F7"/>
            <w:vAlign w:val="center"/>
          </w:tcPr>
          <w:p w:rsidR="00AF678D" w:rsidRPr="003572A0" w:rsidRDefault="00AF678D" w:rsidP="0073309E">
            <w:pPr>
              <w:rPr>
                <w:rFonts w:ascii="Calibri" w:hAnsi="Calibri" w:cs="Calibri"/>
                <w:sz w:val="20"/>
              </w:rPr>
            </w:pPr>
          </w:p>
        </w:tc>
      </w:tr>
      <w:tr w:rsidR="00AF678D" w:rsidRPr="003572A0" w:rsidTr="00AF678D">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i/>
              </w:rPr>
            </w:pPr>
          </w:p>
        </w:tc>
        <w:tc>
          <w:tcPr>
            <w:tcW w:w="677" w:type="pct"/>
            <w:tcBorders>
              <w:left w:val="single" w:sz="12" w:space="0" w:color="ED7D31" w:themeColor="accent2"/>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 xml:space="preserve">Processus de mobilisation / </w:t>
            </w:r>
          </w:p>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participation mis en place</w:t>
            </w:r>
          </w:p>
        </w:tc>
        <w:tc>
          <w:tcPr>
            <w:tcW w:w="1200" w:type="pct"/>
            <w:shd w:val="clear" w:color="auto" w:fill="FEF1E6"/>
            <w:tcMar>
              <w:top w:w="57" w:type="dxa"/>
              <w:left w:w="57" w:type="dxa"/>
              <w:bottom w:w="57" w:type="dxa"/>
              <w:right w:w="57" w:type="dxa"/>
            </w:tcMar>
            <w:vAlign w:val="center"/>
          </w:tcPr>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Développement de lieux d’échanges sur l’écologie et l’économie.</w:t>
            </w:r>
          </w:p>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Développement d’outils (notamment numériques) pour maintenir la contribution dans le temps.</w:t>
            </w:r>
          </w:p>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Politisation des instances de contribution.</w:t>
            </w:r>
          </w:p>
        </w:tc>
        <w:tc>
          <w:tcPr>
            <w:tcW w:w="1043" w:type="pct"/>
            <w:shd w:val="clear" w:color="auto" w:fill="FFF7F7"/>
            <w:tcMar>
              <w:top w:w="57" w:type="dxa"/>
              <w:left w:w="57" w:type="dxa"/>
              <w:bottom w:w="57" w:type="dxa"/>
              <w:right w:w="57" w:type="dxa"/>
            </w:tcMar>
            <w:vAlign w:val="center"/>
          </w:tcPr>
          <w:p w:rsidR="00AF678D" w:rsidRPr="003572A0" w:rsidRDefault="00AF678D" w:rsidP="0073309E">
            <w:pPr>
              <w:numPr>
                <w:ilvl w:val="0"/>
                <w:numId w:val="1"/>
              </w:numPr>
              <w:tabs>
                <w:tab w:val="left" w:pos="2268"/>
              </w:tabs>
              <w:spacing w:before="120"/>
              <w:ind w:left="175" w:hanging="142"/>
              <w:rPr>
                <w:rFonts w:ascii="Calibri" w:hAnsi="Calibri" w:cs="Calibri"/>
                <w:sz w:val="20"/>
              </w:rPr>
            </w:pPr>
            <w:r w:rsidRPr="003572A0">
              <w:rPr>
                <w:rFonts w:ascii="Calibri" w:hAnsi="Calibri" w:cs="Calibri"/>
                <w:sz w:val="20"/>
              </w:rPr>
              <w:t>Développement du financement participatif.</w:t>
            </w:r>
          </w:p>
          <w:p w:rsidR="00AF678D" w:rsidRPr="003572A0" w:rsidRDefault="00AF678D" w:rsidP="0073309E">
            <w:pPr>
              <w:numPr>
                <w:ilvl w:val="0"/>
                <w:numId w:val="1"/>
              </w:numPr>
              <w:tabs>
                <w:tab w:val="left" w:pos="2268"/>
              </w:tabs>
              <w:spacing w:before="120"/>
              <w:ind w:left="175" w:hanging="142"/>
              <w:rPr>
                <w:rFonts w:ascii="Calibri" w:hAnsi="Calibri" w:cs="Calibri"/>
                <w:sz w:val="20"/>
              </w:rPr>
            </w:pPr>
            <w:r w:rsidRPr="003572A0">
              <w:rPr>
                <w:rFonts w:ascii="Calibri" w:hAnsi="Calibri" w:cs="Calibri"/>
                <w:sz w:val="20"/>
              </w:rPr>
              <w:t>Effort pour mobiliser des publics éloignés de la contribution.</w:t>
            </w:r>
          </w:p>
        </w:tc>
        <w:tc>
          <w:tcPr>
            <w:tcW w:w="1615" w:type="pct"/>
            <w:shd w:val="clear" w:color="auto" w:fill="FFF7F7"/>
            <w:vAlign w:val="center"/>
          </w:tcPr>
          <w:p w:rsidR="00AF678D" w:rsidRPr="003572A0" w:rsidRDefault="00AF678D" w:rsidP="0073309E">
            <w:pPr>
              <w:tabs>
                <w:tab w:val="left" w:pos="2268"/>
              </w:tabs>
              <w:spacing w:before="120"/>
              <w:ind w:left="175"/>
              <w:rPr>
                <w:rFonts w:ascii="Calibri" w:hAnsi="Calibri" w:cs="Calibri"/>
                <w:sz w:val="20"/>
              </w:rPr>
            </w:pPr>
          </w:p>
        </w:tc>
      </w:tr>
      <w:tr w:rsidR="00AF678D" w:rsidRPr="003572A0" w:rsidTr="00AF678D">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b/>
                <w:color w:val="E36C0A"/>
              </w:rPr>
            </w:pPr>
          </w:p>
        </w:tc>
        <w:tc>
          <w:tcPr>
            <w:tcW w:w="677" w:type="pct"/>
            <w:tcBorders>
              <w:left w:val="single" w:sz="12" w:space="0" w:color="ED7D31" w:themeColor="accent2"/>
              <w:bottom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Gouvernance territoriale</w:t>
            </w:r>
          </w:p>
        </w:tc>
        <w:tc>
          <w:tcPr>
            <w:tcW w:w="1200" w:type="pct"/>
            <w:tcBorders>
              <w:bottom w:val="single" w:sz="12" w:space="0" w:color="E36C0A"/>
            </w:tcBorders>
            <w:shd w:val="clear" w:color="auto" w:fill="FEF1E6"/>
            <w:tcMar>
              <w:top w:w="57" w:type="dxa"/>
              <w:left w:w="57" w:type="dxa"/>
              <w:bottom w:w="57" w:type="dxa"/>
              <w:right w:w="57" w:type="dxa"/>
            </w:tcMar>
            <w:vAlign w:val="center"/>
          </w:tcPr>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Développement de la méthode projet et transversale, notamment dans les collectivités.</w:t>
            </w:r>
          </w:p>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Flexibilisation du management de projet.</w:t>
            </w:r>
          </w:p>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Développement des logiques horizontales au détriment des projets descendants.</w:t>
            </w:r>
          </w:p>
        </w:tc>
        <w:tc>
          <w:tcPr>
            <w:tcW w:w="1043" w:type="pct"/>
            <w:tcBorders>
              <w:bottom w:val="single" w:sz="12" w:space="0" w:color="E36C0A"/>
            </w:tcBorders>
            <w:shd w:val="clear" w:color="auto" w:fill="FFF7F7"/>
            <w:tcMar>
              <w:top w:w="57" w:type="dxa"/>
              <w:left w:w="57" w:type="dxa"/>
              <w:bottom w:w="57" w:type="dxa"/>
              <w:right w:w="57" w:type="dxa"/>
            </w:tcMar>
            <w:vAlign w:val="center"/>
          </w:tcPr>
          <w:p w:rsidR="00AF678D" w:rsidRPr="003572A0" w:rsidRDefault="00AF678D" w:rsidP="0073309E">
            <w:pPr>
              <w:rPr>
                <w:rFonts w:ascii="Calibri" w:hAnsi="Calibri" w:cs="Calibri"/>
                <w:sz w:val="20"/>
              </w:rPr>
            </w:pPr>
            <w:r w:rsidRPr="003572A0">
              <w:rPr>
                <w:rFonts w:ascii="Calibri" w:hAnsi="Calibri" w:cs="Calibri"/>
                <w:sz w:val="20"/>
              </w:rPr>
              <w:t>Relocalisation des projets de transition et contributifs.</w:t>
            </w:r>
          </w:p>
        </w:tc>
        <w:tc>
          <w:tcPr>
            <w:tcW w:w="1615" w:type="pct"/>
            <w:tcBorders>
              <w:bottom w:val="single" w:sz="12" w:space="0" w:color="E36C0A"/>
            </w:tcBorders>
            <w:shd w:val="clear" w:color="auto" w:fill="FFF7F7"/>
            <w:vAlign w:val="center"/>
          </w:tcPr>
          <w:p w:rsidR="00AF678D" w:rsidRPr="003572A0" w:rsidRDefault="00AF678D" w:rsidP="0073309E">
            <w:pPr>
              <w:rPr>
                <w:rFonts w:ascii="Calibri" w:hAnsi="Calibri" w:cs="Calibri"/>
                <w:sz w:val="20"/>
              </w:rPr>
            </w:pPr>
          </w:p>
        </w:tc>
      </w:tr>
      <w:tr w:rsidR="00AF678D" w:rsidRPr="003572A0" w:rsidTr="00AF67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i/>
              </w:rPr>
            </w:pP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Volonté politique</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rPr>
                <w:rFonts w:ascii="Calibri" w:hAnsi="Calibri" w:cs="Calibri"/>
                <w:sz w:val="20"/>
              </w:rPr>
            </w:pPr>
            <w:r w:rsidRPr="003572A0">
              <w:rPr>
                <w:rFonts w:ascii="Calibri" w:hAnsi="Calibri" w:cs="Calibri"/>
                <w:sz w:val="20"/>
              </w:rPr>
              <w:t>Développement des initiatives publiques en faveur de la transition écologique et de la contribution.</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r w:rsidRPr="003572A0">
              <w:rPr>
                <w:rFonts w:ascii="Calibri" w:hAnsi="Calibri" w:cs="Calibri"/>
                <w:sz w:val="20"/>
              </w:rPr>
              <w:t>Valorisation de l’expérimentation et de l’innovation.</w:t>
            </w: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r w:rsidR="00AF678D" w:rsidRPr="003572A0" w:rsidTr="00AF67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i/>
              </w:rPr>
            </w:pP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Niveau de confiance entre les acteurs</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Effort de décloisonnement entre les acteurs.</w:t>
            </w:r>
          </w:p>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Reconnaissance croissante de la valeur de l’expertise d’usage.</w:t>
            </w:r>
          </w:p>
          <w:p w:rsidR="00AF678D" w:rsidRPr="003572A0" w:rsidRDefault="00AF678D" w:rsidP="0073309E">
            <w:pPr>
              <w:numPr>
                <w:ilvl w:val="0"/>
                <w:numId w:val="1"/>
              </w:numPr>
              <w:tabs>
                <w:tab w:val="left" w:pos="2268"/>
              </w:tabs>
              <w:spacing w:before="120"/>
              <w:ind w:left="194" w:hanging="194"/>
              <w:rPr>
                <w:rFonts w:ascii="Calibri" w:hAnsi="Calibri" w:cs="Calibri"/>
                <w:sz w:val="20"/>
              </w:rPr>
            </w:pPr>
            <w:r w:rsidRPr="003572A0">
              <w:rPr>
                <w:rFonts w:ascii="Calibri" w:hAnsi="Calibri" w:cs="Calibri"/>
                <w:sz w:val="20"/>
              </w:rPr>
              <w:t>Volonté des collectivités de sortir de la conflictualité au profit de la coopération.</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r w:rsidRPr="003572A0">
              <w:rPr>
                <w:rFonts w:ascii="Calibri" w:hAnsi="Calibri" w:cs="Calibri"/>
                <w:sz w:val="20"/>
              </w:rPr>
              <w:t>Intérêt croissant des entreprises pour le dialogue avec les collectivités et les citoyens.</w:t>
            </w: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r w:rsidR="00AF678D" w:rsidRPr="003572A0" w:rsidTr="00AF67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i/>
              </w:rPr>
            </w:pP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Capacité d’ingénierie des parties prenantes</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rPr>
                <w:rFonts w:ascii="Calibri" w:hAnsi="Calibri" w:cs="Calibri"/>
                <w:sz w:val="20"/>
              </w:rPr>
            </w:pPr>
            <w:r w:rsidRPr="003572A0">
              <w:rPr>
                <w:rFonts w:ascii="Calibri" w:hAnsi="Calibri" w:cs="Calibri"/>
                <w:sz w:val="20"/>
              </w:rPr>
              <w:t>Montée en qualification des acteurs sur le développement durable, notamment dans les collectivités.</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bl>
    <w:p w:rsidR="00AF678D" w:rsidRDefault="00AF678D">
      <w:r>
        <w:br w:type="page"/>
      </w:r>
    </w:p>
    <w:tbl>
      <w:tblPr>
        <w:tblStyle w:val="Grilledutableau"/>
        <w:tblW w:w="4863" w:type="pct"/>
        <w:tblLayout w:type="fixed"/>
        <w:tblLook w:val="04A0" w:firstRow="1" w:lastRow="0" w:firstColumn="1" w:lastColumn="0" w:noHBand="0" w:noVBand="1"/>
      </w:tblPr>
      <w:tblGrid>
        <w:gridCol w:w="1265"/>
        <w:gridCol w:w="1840"/>
        <w:gridCol w:w="3262"/>
        <w:gridCol w:w="2835"/>
        <w:gridCol w:w="4390"/>
      </w:tblGrid>
      <w:tr w:rsidR="00AF678D" w:rsidRPr="003572A0" w:rsidTr="00AF678D">
        <w:tc>
          <w:tcPr>
            <w:tcW w:w="465" w:type="pct"/>
            <w:vMerge w:val="restart"/>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b/>
                <w:color w:val="E36C0A"/>
              </w:rPr>
            </w:pPr>
            <w:r w:rsidRPr="003572A0">
              <w:rPr>
                <w:rFonts w:ascii="Calibri" w:hAnsi="Calibri" w:cs="Calibri"/>
                <w:b/>
                <w:color w:val="E36C0A"/>
              </w:rPr>
              <w:lastRenderedPageBreak/>
              <w:t>Variables motrices</w:t>
            </w: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Mode d’organisation</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rPr>
                <w:rFonts w:ascii="Calibri" w:hAnsi="Calibri" w:cs="Calibri"/>
                <w:sz w:val="20"/>
              </w:rPr>
            </w:pPr>
            <w:r w:rsidRPr="003572A0">
              <w:rPr>
                <w:rFonts w:ascii="Calibri" w:hAnsi="Calibri" w:cs="Calibri"/>
                <w:sz w:val="20"/>
              </w:rPr>
              <w:t>Développement des structures non juridiques ad hoc à chaque projet.</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r w:rsidRPr="003572A0">
              <w:rPr>
                <w:rFonts w:ascii="Calibri" w:hAnsi="Calibri" w:cs="Calibri"/>
                <w:sz w:val="20"/>
              </w:rPr>
              <w:t>Diversification des modes d’organisation et des formes de la contribution.</w:t>
            </w: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r w:rsidR="00AF678D" w:rsidRPr="003572A0" w:rsidTr="00AF678D">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b/>
                <w:color w:val="E36C0A"/>
              </w:rPr>
            </w:pP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Partage d’une vision commune</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rPr>
                <w:rFonts w:ascii="Calibri" w:hAnsi="Calibri" w:cs="Calibri"/>
                <w:sz w:val="20"/>
              </w:rPr>
            </w:pPr>
            <w:r w:rsidRPr="003572A0">
              <w:rPr>
                <w:rFonts w:ascii="Calibri" w:hAnsi="Calibri" w:cs="Calibri"/>
                <w:sz w:val="20"/>
              </w:rPr>
              <w:t>Convergence des objectifs des différents acteurs vers la coopération et la transition écologique.</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r w:rsidR="00AF678D" w:rsidRPr="003572A0" w:rsidTr="00AF678D">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b/>
                <w:color w:val="E36C0A"/>
              </w:rPr>
            </w:pP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Rôle et positionnement des acteurs impliqués</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Évolution de la répartition des compétences entre les niveaux de collectivités.</w:t>
            </w:r>
          </w:p>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Prégnance de l’initiative et de la responsabilité des collectivités.</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r w:rsidRPr="003572A0">
              <w:rPr>
                <w:rFonts w:ascii="Calibri" w:hAnsi="Calibri" w:cs="Calibri"/>
                <w:sz w:val="20"/>
              </w:rPr>
              <w:t xml:space="preserve">Croissance de prise en compte  des entreprises dans les projets de contribution. </w:t>
            </w: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r w:rsidR="00AF678D" w:rsidRPr="003572A0" w:rsidTr="00AF678D">
        <w:trPr>
          <w:trHeight w:val="3743"/>
        </w:trPr>
        <w:tc>
          <w:tcPr>
            <w:tcW w:w="465" w:type="pct"/>
            <w:vMerge w:val="restart"/>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b/>
                <w:color w:val="E36C0A"/>
              </w:rPr>
            </w:pPr>
            <w:r w:rsidRPr="003572A0">
              <w:rPr>
                <w:rFonts w:ascii="Calibri" w:hAnsi="Calibri" w:cs="Calibri"/>
                <w:b/>
                <w:color w:val="E36C0A"/>
              </w:rPr>
              <w:t>Variables de résultat</w:t>
            </w: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Effet levier sur la transition écologique</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Progrès de la sensibilisation aux enjeux de la transition écologique chez tous les acteurs.</w:t>
            </w:r>
          </w:p>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Manque de cohérence et d’articulation entre les projets.</w:t>
            </w:r>
          </w:p>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Manque de traçabilité sur l’impact des projets contributifs sur la transition écologique, notamment dans les projets transversaux et globaux.</w:t>
            </w:r>
          </w:p>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Multiplication des réflexions sur le modèle urbain et les relations villes/campagnes.</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numPr>
                <w:ilvl w:val="0"/>
                <w:numId w:val="1"/>
              </w:numPr>
              <w:tabs>
                <w:tab w:val="left" w:pos="2268"/>
              </w:tabs>
              <w:spacing w:before="120"/>
              <w:ind w:left="175" w:hanging="142"/>
              <w:rPr>
                <w:rFonts w:ascii="Calibri" w:hAnsi="Calibri" w:cs="Calibri"/>
                <w:sz w:val="18"/>
              </w:rPr>
            </w:pPr>
            <w:r w:rsidRPr="003572A0">
              <w:rPr>
                <w:rFonts w:ascii="Calibri" w:hAnsi="Calibri" w:cs="Calibri"/>
                <w:sz w:val="18"/>
              </w:rPr>
              <w:t>Appropriation croissante des démarches de transition écologique.</w:t>
            </w:r>
          </w:p>
          <w:p w:rsidR="00AF678D" w:rsidRPr="003572A0" w:rsidRDefault="00AF678D" w:rsidP="0073309E">
            <w:pPr>
              <w:numPr>
                <w:ilvl w:val="0"/>
                <w:numId w:val="1"/>
              </w:numPr>
              <w:tabs>
                <w:tab w:val="left" w:pos="2268"/>
              </w:tabs>
              <w:spacing w:before="120"/>
              <w:ind w:left="175" w:hanging="142"/>
              <w:rPr>
                <w:rFonts w:ascii="Calibri" w:hAnsi="Calibri" w:cs="Calibri"/>
                <w:sz w:val="18"/>
              </w:rPr>
            </w:pPr>
            <w:r w:rsidRPr="003572A0">
              <w:rPr>
                <w:rFonts w:ascii="Calibri" w:hAnsi="Calibri" w:cs="Calibri"/>
                <w:sz w:val="18"/>
              </w:rPr>
              <w:t>Multiplication des projets aux impacts forts à des échelles très locales et/ou sur des projets thématiques, notamment l’énergie.</w:t>
            </w: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tabs>
                <w:tab w:val="left" w:pos="2268"/>
              </w:tabs>
              <w:spacing w:before="120"/>
              <w:ind w:left="175"/>
              <w:rPr>
                <w:rFonts w:ascii="Calibri" w:hAnsi="Calibri" w:cs="Calibri"/>
                <w:sz w:val="18"/>
              </w:rPr>
            </w:pPr>
          </w:p>
        </w:tc>
      </w:tr>
      <w:tr w:rsidR="00AF678D" w:rsidRPr="003572A0" w:rsidTr="00AF678D">
        <w:tc>
          <w:tcPr>
            <w:tcW w:w="465" w:type="pct"/>
            <w:vMerge/>
            <w:tcBorders>
              <w:top w:val="single" w:sz="12" w:space="0" w:color="ED7D31" w:themeColor="accent2"/>
              <w:left w:val="single" w:sz="12" w:space="0" w:color="ED7D31" w:themeColor="accent2"/>
              <w:bottom w:val="single" w:sz="12" w:space="0" w:color="ED7D31" w:themeColor="accent2"/>
              <w:right w:val="single" w:sz="12" w:space="0" w:color="ED7D31" w:themeColor="accent2"/>
            </w:tcBorders>
            <w:vAlign w:val="center"/>
          </w:tcPr>
          <w:p w:rsidR="00AF678D" w:rsidRPr="003572A0" w:rsidRDefault="00AF678D" w:rsidP="0073309E">
            <w:pPr>
              <w:rPr>
                <w:rFonts w:ascii="Calibri" w:hAnsi="Calibri" w:cs="Calibri"/>
                <w:i/>
              </w:rPr>
            </w:pPr>
          </w:p>
        </w:tc>
        <w:tc>
          <w:tcPr>
            <w:tcW w:w="677" w:type="pct"/>
            <w:tcBorders>
              <w:top w:val="single" w:sz="12" w:space="0" w:color="E36C0A"/>
              <w:left w:val="single" w:sz="12" w:space="0" w:color="ED7D31" w:themeColor="accent2"/>
              <w:bottom w:val="single" w:sz="12" w:space="0" w:color="E36C0A"/>
              <w:right w:val="single" w:sz="12" w:space="0" w:color="E36C0A"/>
            </w:tcBorders>
            <w:vAlign w:val="center"/>
          </w:tcPr>
          <w:p w:rsidR="00AF678D" w:rsidRPr="003572A0" w:rsidRDefault="00AF678D" w:rsidP="0073309E">
            <w:pPr>
              <w:rPr>
                <w:rFonts w:ascii="Calibri" w:hAnsi="Calibri" w:cs="Calibri"/>
                <w:i/>
                <w:color w:val="E36C0A"/>
                <w:sz w:val="20"/>
              </w:rPr>
            </w:pPr>
            <w:r w:rsidRPr="003572A0">
              <w:rPr>
                <w:rFonts w:ascii="Calibri" w:hAnsi="Calibri" w:cs="Calibri"/>
                <w:i/>
                <w:color w:val="E36C0A"/>
                <w:sz w:val="20"/>
              </w:rPr>
              <w:t>Étapes de la démarche de contribution</w:t>
            </w:r>
          </w:p>
        </w:tc>
        <w:tc>
          <w:tcPr>
            <w:tcW w:w="1200" w:type="pct"/>
            <w:tcBorders>
              <w:top w:val="single" w:sz="12" w:space="0" w:color="E36C0A"/>
              <w:left w:val="single" w:sz="12" w:space="0" w:color="E36C0A"/>
              <w:bottom w:val="single" w:sz="12" w:space="0" w:color="E36C0A"/>
              <w:right w:val="single" w:sz="12" w:space="0" w:color="E36C0A"/>
            </w:tcBorders>
            <w:shd w:val="clear" w:color="auto" w:fill="FEF1E6"/>
            <w:vAlign w:val="center"/>
          </w:tcPr>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Développement de l’initiative citoyenne (et plus largement hors collectivité).</w:t>
            </w:r>
          </w:p>
          <w:p w:rsidR="00AF678D" w:rsidRPr="003572A0" w:rsidRDefault="00AF678D" w:rsidP="0073309E">
            <w:pPr>
              <w:numPr>
                <w:ilvl w:val="0"/>
                <w:numId w:val="1"/>
              </w:numPr>
              <w:tabs>
                <w:tab w:val="left" w:pos="2268"/>
              </w:tabs>
              <w:spacing w:before="120"/>
              <w:ind w:left="194" w:hanging="194"/>
              <w:rPr>
                <w:rFonts w:ascii="Calibri" w:hAnsi="Calibri" w:cs="Calibri"/>
                <w:sz w:val="18"/>
              </w:rPr>
            </w:pPr>
            <w:r w:rsidRPr="003572A0">
              <w:rPr>
                <w:rFonts w:ascii="Calibri" w:hAnsi="Calibri" w:cs="Calibri"/>
                <w:sz w:val="18"/>
              </w:rPr>
              <w:t>Maintien du monopole des collectivités sur la décision.</w:t>
            </w:r>
          </w:p>
        </w:tc>
        <w:tc>
          <w:tcPr>
            <w:tcW w:w="1043"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r w:rsidRPr="003572A0">
              <w:rPr>
                <w:rFonts w:ascii="Calibri" w:hAnsi="Calibri" w:cs="Calibri"/>
                <w:sz w:val="20"/>
              </w:rPr>
              <w:t>Développement de la contribution des acteurs hors collectivité en amont de la démarche contributive.</w:t>
            </w:r>
          </w:p>
        </w:tc>
        <w:tc>
          <w:tcPr>
            <w:tcW w:w="1615" w:type="pct"/>
            <w:tcBorders>
              <w:top w:val="single" w:sz="12" w:space="0" w:color="E36C0A"/>
              <w:left w:val="single" w:sz="12" w:space="0" w:color="E36C0A"/>
              <w:bottom w:val="single" w:sz="12" w:space="0" w:color="E36C0A"/>
              <w:right w:val="single" w:sz="12" w:space="0" w:color="E36C0A"/>
            </w:tcBorders>
            <w:shd w:val="clear" w:color="auto" w:fill="FFF7F7"/>
            <w:vAlign w:val="center"/>
          </w:tcPr>
          <w:p w:rsidR="00AF678D" w:rsidRPr="003572A0" w:rsidRDefault="00AF678D" w:rsidP="0073309E">
            <w:pPr>
              <w:rPr>
                <w:rFonts w:ascii="Calibri" w:hAnsi="Calibri" w:cs="Calibri"/>
                <w:sz w:val="20"/>
              </w:rPr>
            </w:pPr>
          </w:p>
        </w:tc>
      </w:tr>
    </w:tbl>
    <w:p w:rsidR="003572A0" w:rsidRDefault="003572A0" w:rsidP="003572A0">
      <w:pPr>
        <w:autoSpaceDE w:val="0"/>
        <w:autoSpaceDN w:val="0"/>
        <w:adjustRightInd w:val="0"/>
        <w:spacing w:after="120" w:line="240" w:lineRule="auto"/>
        <w:jc w:val="both"/>
        <w:rPr>
          <w:rFonts w:ascii="Calibri" w:eastAsia="Calibri" w:hAnsi="Calibri" w:cs="Calibri"/>
          <w:color w:val="000000"/>
          <w:szCs w:val="20"/>
          <w:lang w:eastAsia="fr-FR"/>
        </w:rPr>
      </w:pPr>
    </w:p>
    <w:p w:rsidR="00543D93" w:rsidRDefault="00543D93" w:rsidP="003572A0">
      <w:pPr>
        <w:autoSpaceDE w:val="0"/>
        <w:autoSpaceDN w:val="0"/>
        <w:adjustRightInd w:val="0"/>
        <w:spacing w:after="120" w:line="240" w:lineRule="auto"/>
        <w:jc w:val="both"/>
        <w:rPr>
          <w:rFonts w:ascii="Calibri" w:eastAsia="Calibri" w:hAnsi="Calibri" w:cs="Calibri"/>
          <w:color w:val="000000"/>
          <w:szCs w:val="20"/>
          <w:lang w:eastAsia="fr-FR"/>
        </w:rPr>
      </w:pPr>
    </w:p>
    <w:p w:rsidR="00543D93" w:rsidRDefault="00543D93" w:rsidP="003572A0">
      <w:pPr>
        <w:autoSpaceDE w:val="0"/>
        <w:autoSpaceDN w:val="0"/>
        <w:adjustRightInd w:val="0"/>
        <w:spacing w:after="120" w:line="240" w:lineRule="auto"/>
        <w:jc w:val="both"/>
        <w:rPr>
          <w:rFonts w:ascii="Calibri" w:eastAsia="Calibri" w:hAnsi="Calibri" w:cs="Calibri"/>
          <w:color w:val="000000"/>
          <w:szCs w:val="20"/>
          <w:lang w:eastAsia="fr-FR"/>
        </w:rPr>
      </w:pPr>
    </w:p>
    <w:p w:rsidR="00543D93" w:rsidRDefault="00543D93" w:rsidP="003572A0">
      <w:pPr>
        <w:autoSpaceDE w:val="0"/>
        <w:autoSpaceDN w:val="0"/>
        <w:adjustRightInd w:val="0"/>
        <w:spacing w:after="120" w:line="240" w:lineRule="auto"/>
        <w:jc w:val="both"/>
        <w:rPr>
          <w:rFonts w:ascii="Calibri" w:eastAsia="Calibri" w:hAnsi="Calibri" w:cs="Calibri"/>
          <w:color w:val="000000"/>
          <w:szCs w:val="20"/>
          <w:lang w:eastAsia="fr-FR"/>
        </w:rPr>
      </w:pPr>
    </w:p>
    <w:p w:rsidR="00543D93" w:rsidRPr="003572A0" w:rsidRDefault="00543D93" w:rsidP="003572A0">
      <w:pPr>
        <w:autoSpaceDE w:val="0"/>
        <w:autoSpaceDN w:val="0"/>
        <w:adjustRightInd w:val="0"/>
        <w:spacing w:after="120" w:line="240" w:lineRule="auto"/>
        <w:jc w:val="both"/>
        <w:rPr>
          <w:rFonts w:ascii="Calibri" w:eastAsia="Calibri" w:hAnsi="Calibri" w:cs="Calibri"/>
          <w:color w:val="000000"/>
          <w:szCs w:val="20"/>
          <w:lang w:eastAsia="fr-FR"/>
        </w:rPr>
      </w:pPr>
    </w:p>
    <w:p w:rsidR="00ED50CF" w:rsidRDefault="00B22E35" w:rsidP="00ED50CF">
      <w:pPr>
        <w:keepNext/>
        <w:jc w:val="center"/>
      </w:pPr>
      <w:r w:rsidRPr="003572A0">
        <w:rPr>
          <w:rFonts w:ascii="Calibri" w:eastAsia="Tahoma" w:hAnsi="Calibri" w:cs="Times New Roman"/>
          <w:noProof/>
          <w:szCs w:val="24"/>
          <w:lang w:eastAsia="fr-FR"/>
        </w:rPr>
        <w:drawing>
          <wp:inline distT="0" distB="0" distL="0" distR="0" wp14:anchorId="538E7868" wp14:editId="1BAE206D">
            <wp:extent cx="7210924" cy="5534476"/>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1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39290" cy="5556247"/>
                    </a:xfrm>
                    <a:prstGeom prst="rect">
                      <a:avLst/>
                    </a:prstGeom>
                  </pic:spPr>
                </pic:pic>
              </a:graphicData>
            </a:graphic>
          </wp:inline>
        </w:drawing>
      </w:r>
    </w:p>
    <w:p w:rsidR="00435464" w:rsidRPr="003F7BCF" w:rsidRDefault="003F7BCF" w:rsidP="00ED50CF">
      <w:pPr>
        <w:pStyle w:val="Lgende"/>
        <w:jc w:val="center"/>
        <w:rPr>
          <w:sz w:val="28"/>
        </w:rPr>
      </w:pPr>
      <w:r>
        <w:rPr>
          <w:sz w:val="28"/>
        </w:rPr>
        <w:t>L</w:t>
      </w:r>
      <w:r w:rsidR="00ED50CF" w:rsidRPr="003F7BCF">
        <w:rPr>
          <w:sz w:val="28"/>
        </w:rPr>
        <w:t>es interactions entre les différentes variables</w:t>
      </w:r>
    </w:p>
    <w:sectPr w:rsidR="00435464" w:rsidRPr="003F7BCF" w:rsidSect="00543D93">
      <w:footerReference w:type="default" r:id="rId12"/>
      <w:type w:val="continuous"/>
      <w:pgSz w:w="16839" w:h="23814"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2A0" w:rsidRDefault="003572A0" w:rsidP="003572A0">
      <w:pPr>
        <w:spacing w:after="0" w:line="240" w:lineRule="auto"/>
      </w:pPr>
      <w:r>
        <w:separator/>
      </w:r>
    </w:p>
  </w:endnote>
  <w:endnote w:type="continuationSeparator" w:id="0">
    <w:p w:rsidR="003572A0" w:rsidRDefault="003572A0" w:rsidP="00357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BB" w:rsidRDefault="008957BB" w:rsidP="008957BB">
    <w:pPr>
      <w:pStyle w:val="En-tte"/>
      <w:jc w:val="left"/>
      <w:rPr>
        <w:rFonts w:ascii="Cambria" w:eastAsia="Times New Roman" w:hAnsi="Cambria"/>
        <w:i/>
        <w:sz w:val="18"/>
        <w:szCs w:val="24"/>
        <w:lang w:eastAsia="fr-FR"/>
      </w:rPr>
    </w:pPr>
    <w:r w:rsidRPr="00EF0233">
      <w:rPr>
        <w:noProof/>
        <w:lang w:eastAsia="fr-FR"/>
      </w:rPr>
      <w:drawing>
        <wp:anchor distT="0" distB="0" distL="114300" distR="114300" simplePos="0" relativeHeight="251668480" behindDoc="0" locked="0" layoutInCell="1" allowOverlap="1" wp14:anchorId="2AACCFA8" wp14:editId="42A720FF">
          <wp:simplePos x="0" y="0"/>
          <wp:positionH relativeFrom="page">
            <wp:posOffset>9778365</wp:posOffset>
          </wp:positionH>
          <wp:positionV relativeFrom="paragraph">
            <wp:posOffset>6350</wp:posOffset>
          </wp:positionV>
          <wp:extent cx="721360" cy="311150"/>
          <wp:effectExtent l="0" t="0" r="2540" b="0"/>
          <wp:wrapNone/>
          <wp:docPr id="7" name="Image 9"/>
          <wp:cNvGraphicFramePr/>
          <a:graphic xmlns:a="http://schemas.openxmlformats.org/drawingml/2006/main">
            <a:graphicData uri="http://schemas.openxmlformats.org/drawingml/2006/picture">
              <pic:pic xmlns:pic="http://schemas.openxmlformats.org/drawingml/2006/picture">
                <pic:nvPicPr>
                  <pic:cNvPr id="12" name="Image 9"/>
                  <pic:cNvPicPr/>
                </pic:nvPicPr>
                <pic:blipFill>
                  <a:blip r:embed="rId1">
                    <a:extLst>
                      <a:ext uri="{28A0092B-C50C-407E-A947-70E740481C1C}">
                        <a14:useLocalDpi xmlns:a14="http://schemas.microsoft.com/office/drawing/2010/main" val="0"/>
                      </a:ext>
                    </a:extLst>
                  </a:blip>
                  <a:srcRect l="2628" t="7158" r="5075" b="6955"/>
                  <a:stretch>
                    <a:fillRect/>
                  </a:stretch>
                </pic:blipFill>
                <pic:spPr bwMode="auto">
                  <a:xfrm>
                    <a:off x="0" y="0"/>
                    <a:ext cx="721360" cy="311150"/>
                  </a:xfrm>
                  <a:prstGeom prst="rect">
                    <a:avLst/>
                  </a:prstGeom>
                  <a:noFill/>
                  <a:ln>
                    <a:noFill/>
                  </a:ln>
                  <a:extLst/>
                </pic:spPr>
              </pic:pic>
            </a:graphicData>
          </a:graphic>
        </wp:anchor>
      </w:drawing>
    </w:r>
    <w:r w:rsidRPr="00EF0233">
      <w:rPr>
        <w:noProof/>
        <w:lang w:eastAsia="fr-FR"/>
      </w:rPr>
      <w:drawing>
        <wp:anchor distT="0" distB="0" distL="114300" distR="114300" simplePos="0" relativeHeight="251669504" behindDoc="0" locked="0" layoutInCell="1" allowOverlap="1" wp14:anchorId="20A99C9F" wp14:editId="25EA4C44">
          <wp:simplePos x="0" y="0"/>
          <wp:positionH relativeFrom="column">
            <wp:posOffset>-771525</wp:posOffset>
          </wp:positionH>
          <wp:positionV relativeFrom="paragraph">
            <wp:posOffset>-181610</wp:posOffset>
          </wp:positionV>
          <wp:extent cx="637540" cy="572770"/>
          <wp:effectExtent l="0" t="0" r="0" b="0"/>
          <wp:wrapNone/>
          <wp:docPr id="8" name="Image 18"/>
          <wp:cNvGraphicFramePr/>
          <a:graphic xmlns:a="http://schemas.openxmlformats.org/drawingml/2006/main">
            <a:graphicData uri="http://schemas.openxmlformats.org/drawingml/2006/picture">
              <pic:pic xmlns:pic="http://schemas.openxmlformats.org/drawingml/2006/picture">
                <pic:nvPicPr>
                  <pic:cNvPr id="13" name="Image 18"/>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40" cy="572770"/>
                  </a:xfrm>
                  <a:prstGeom prst="rect">
                    <a:avLst/>
                  </a:prstGeom>
                  <a:noFill/>
                  <a:ln>
                    <a:noFill/>
                  </a:ln>
                  <a:extLst/>
                </pic:spPr>
              </pic:pic>
            </a:graphicData>
          </a:graphic>
        </wp:anchor>
      </w:drawing>
    </w:r>
    <w:r w:rsidRPr="00EF0233">
      <w:rPr>
        <w:rFonts w:ascii="Cambria" w:eastAsia="Times New Roman" w:hAnsi="Cambria"/>
        <w:i/>
        <w:sz w:val="18"/>
        <w:szCs w:val="24"/>
        <w:lang w:eastAsia="fr-FR"/>
      </w:rPr>
      <w:t xml:space="preserve">Kit Outils Démocratie contributive  </w:t>
    </w:r>
    <w:r>
      <w:rPr>
        <w:rFonts w:ascii="Cambria" w:eastAsia="Times New Roman" w:hAnsi="Cambria"/>
        <w:i/>
        <w:sz w:val="18"/>
        <w:szCs w:val="24"/>
        <w:lang w:eastAsia="fr-FR"/>
      </w:rPr>
      <w:t xml:space="preserve">                                                                                                                                                                                                                                                            </w:t>
    </w:r>
    <w:r w:rsidRPr="00EF0233">
      <w:rPr>
        <w:rFonts w:ascii="Cambria" w:eastAsia="Times New Roman" w:hAnsi="Cambria"/>
        <w:i/>
        <w:sz w:val="18"/>
        <w:szCs w:val="24"/>
        <w:lang w:eastAsia="fr-FR"/>
      </w:rPr>
      <w:t>Avec l’appui de</w:t>
    </w:r>
  </w:p>
  <w:p w:rsidR="008957BB" w:rsidRPr="00EF0233" w:rsidRDefault="008957BB" w:rsidP="008957BB">
    <w:pPr>
      <w:pStyle w:val="En-tte"/>
      <w:jc w:val="left"/>
      <w:rPr>
        <w:rFonts w:ascii="Cambria" w:eastAsia="Times New Roman" w:hAnsi="Cambria"/>
        <w:i/>
        <w:sz w:val="18"/>
        <w:szCs w:val="24"/>
        <w:lang w:eastAsia="fr-FR"/>
      </w:rPr>
    </w:pPr>
    <w:r>
      <w:rPr>
        <w:rFonts w:ascii="Cambria" w:eastAsia="Times New Roman" w:hAnsi="Cambria"/>
        <w:i/>
        <w:sz w:val="18"/>
        <w:szCs w:val="24"/>
        <w:lang w:eastAsia="fr-FR"/>
      </w:rPr>
      <w:t>ARENE Île-de-France – Juin 2016</w:t>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BB" w:rsidRDefault="00D52193" w:rsidP="00035E78">
    <w:pPr>
      <w:pStyle w:val="En-tte"/>
      <w:jc w:val="left"/>
      <w:rPr>
        <w:rFonts w:ascii="Cambria" w:eastAsia="Times New Roman" w:hAnsi="Cambria"/>
        <w:i/>
        <w:sz w:val="18"/>
        <w:szCs w:val="24"/>
        <w:lang w:eastAsia="fr-FR"/>
      </w:rPr>
    </w:pPr>
    <w:r w:rsidRPr="00EF0233">
      <w:rPr>
        <w:noProof/>
        <w:lang w:eastAsia="fr-FR"/>
      </w:rPr>
      <w:drawing>
        <wp:anchor distT="0" distB="0" distL="114300" distR="114300" simplePos="0" relativeHeight="251665408" behindDoc="0" locked="0" layoutInCell="1" allowOverlap="1" wp14:anchorId="2A00A8BE" wp14:editId="76565996">
          <wp:simplePos x="0" y="0"/>
          <wp:positionH relativeFrom="page">
            <wp:posOffset>9778365</wp:posOffset>
          </wp:positionH>
          <wp:positionV relativeFrom="paragraph">
            <wp:posOffset>6350</wp:posOffset>
          </wp:positionV>
          <wp:extent cx="721360" cy="311150"/>
          <wp:effectExtent l="0" t="0" r="2540" b="0"/>
          <wp:wrapNone/>
          <wp:docPr id="5" name="Image 9"/>
          <wp:cNvGraphicFramePr/>
          <a:graphic xmlns:a="http://schemas.openxmlformats.org/drawingml/2006/main">
            <a:graphicData uri="http://schemas.openxmlformats.org/drawingml/2006/picture">
              <pic:pic xmlns:pic="http://schemas.openxmlformats.org/drawingml/2006/picture">
                <pic:nvPicPr>
                  <pic:cNvPr id="12" name="Image 9"/>
                  <pic:cNvPicPr/>
                </pic:nvPicPr>
                <pic:blipFill>
                  <a:blip r:embed="rId1">
                    <a:extLst>
                      <a:ext uri="{28A0092B-C50C-407E-A947-70E740481C1C}">
                        <a14:useLocalDpi xmlns:a14="http://schemas.microsoft.com/office/drawing/2010/main" val="0"/>
                      </a:ext>
                    </a:extLst>
                  </a:blip>
                  <a:srcRect l="2628" t="7158" r="5075" b="6955"/>
                  <a:stretch>
                    <a:fillRect/>
                  </a:stretch>
                </pic:blipFill>
                <pic:spPr bwMode="auto">
                  <a:xfrm>
                    <a:off x="0" y="0"/>
                    <a:ext cx="721360" cy="311150"/>
                  </a:xfrm>
                  <a:prstGeom prst="rect">
                    <a:avLst/>
                  </a:prstGeom>
                  <a:noFill/>
                  <a:ln>
                    <a:noFill/>
                  </a:ln>
                  <a:extLst/>
                </pic:spPr>
              </pic:pic>
            </a:graphicData>
          </a:graphic>
        </wp:anchor>
      </w:drawing>
    </w:r>
    <w:r w:rsidRPr="00EF0233">
      <w:rPr>
        <w:noProof/>
        <w:lang w:eastAsia="fr-FR"/>
      </w:rPr>
      <w:drawing>
        <wp:anchor distT="0" distB="0" distL="114300" distR="114300" simplePos="0" relativeHeight="251666432" behindDoc="0" locked="0" layoutInCell="1" allowOverlap="1" wp14:anchorId="69B7C427" wp14:editId="49ED0554">
          <wp:simplePos x="0" y="0"/>
          <wp:positionH relativeFrom="column">
            <wp:posOffset>-771525</wp:posOffset>
          </wp:positionH>
          <wp:positionV relativeFrom="paragraph">
            <wp:posOffset>-181610</wp:posOffset>
          </wp:positionV>
          <wp:extent cx="637540" cy="572770"/>
          <wp:effectExtent l="0" t="0" r="0" b="0"/>
          <wp:wrapNone/>
          <wp:docPr id="6" name="Image 18"/>
          <wp:cNvGraphicFramePr/>
          <a:graphic xmlns:a="http://schemas.openxmlformats.org/drawingml/2006/main">
            <a:graphicData uri="http://schemas.openxmlformats.org/drawingml/2006/picture">
              <pic:pic xmlns:pic="http://schemas.openxmlformats.org/drawingml/2006/picture">
                <pic:nvPicPr>
                  <pic:cNvPr id="13" name="Image 18"/>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40" cy="572770"/>
                  </a:xfrm>
                  <a:prstGeom prst="rect">
                    <a:avLst/>
                  </a:prstGeom>
                  <a:noFill/>
                  <a:ln>
                    <a:noFill/>
                  </a:ln>
                  <a:extLst/>
                </pic:spPr>
              </pic:pic>
            </a:graphicData>
          </a:graphic>
        </wp:anchor>
      </w:drawing>
    </w:r>
    <w:r w:rsidR="00EF0233" w:rsidRPr="00EF0233">
      <w:rPr>
        <w:rFonts w:ascii="Cambria" w:eastAsia="Times New Roman" w:hAnsi="Cambria"/>
        <w:i/>
        <w:sz w:val="18"/>
        <w:szCs w:val="24"/>
        <w:lang w:eastAsia="fr-FR"/>
      </w:rPr>
      <w:t xml:space="preserve">Kit Outils Démocratie contributive  </w:t>
    </w:r>
    <w:r w:rsidR="008957BB">
      <w:rPr>
        <w:rFonts w:ascii="Cambria" w:eastAsia="Times New Roman" w:hAnsi="Cambria"/>
        <w:i/>
        <w:sz w:val="18"/>
        <w:szCs w:val="24"/>
        <w:lang w:eastAsia="fr-FR"/>
      </w:rPr>
      <w:t xml:space="preserve">                                                                                                                                                                                                                                                            </w:t>
    </w:r>
    <w:r w:rsidR="008957BB" w:rsidRPr="00EF0233">
      <w:rPr>
        <w:rFonts w:ascii="Cambria" w:eastAsia="Times New Roman" w:hAnsi="Cambria"/>
        <w:i/>
        <w:sz w:val="18"/>
        <w:szCs w:val="24"/>
        <w:lang w:eastAsia="fr-FR"/>
      </w:rPr>
      <w:t>Avec l’appui de</w:t>
    </w:r>
  </w:p>
  <w:p w:rsidR="003572A0" w:rsidRPr="00EF0233" w:rsidRDefault="008957BB" w:rsidP="00035E78">
    <w:pPr>
      <w:pStyle w:val="En-tte"/>
      <w:jc w:val="left"/>
      <w:rPr>
        <w:rFonts w:ascii="Cambria" w:eastAsia="Times New Roman" w:hAnsi="Cambria"/>
        <w:i/>
        <w:sz w:val="18"/>
        <w:szCs w:val="24"/>
        <w:lang w:eastAsia="fr-FR"/>
      </w:rPr>
    </w:pPr>
    <w:r>
      <w:rPr>
        <w:rFonts w:ascii="Cambria" w:eastAsia="Times New Roman" w:hAnsi="Cambria"/>
        <w:i/>
        <w:sz w:val="18"/>
        <w:szCs w:val="24"/>
        <w:lang w:eastAsia="fr-FR"/>
      </w:rPr>
      <w:t>ARENE Île-de-France – Juin 2016</w:t>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r w:rsidR="00EF0233" w:rsidRPr="00EF0233">
      <w:rPr>
        <w:rFonts w:ascii="Cambria" w:eastAsia="Times New Roman" w:hAnsi="Cambria"/>
        <w:i/>
        <w:sz w:val="18"/>
        <w:szCs w:val="24"/>
        <w:lang w:eastAsia="fr-FR"/>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BB" w:rsidRDefault="008957BB" w:rsidP="008957BB">
    <w:pPr>
      <w:pStyle w:val="En-tte"/>
      <w:jc w:val="left"/>
      <w:rPr>
        <w:rFonts w:ascii="Cambria" w:eastAsia="Times New Roman" w:hAnsi="Cambria"/>
        <w:i/>
        <w:sz w:val="18"/>
        <w:szCs w:val="24"/>
        <w:lang w:eastAsia="fr-FR"/>
      </w:rPr>
    </w:pPr>
    <w:r w:rsidRPr="00EF0233">
      <w:rPr>
        <w:noProof/>
        <w:lang w:eastAsia="fr-FR"/>
      </w:rPr>
      <w:drawing>
        <wp:anchor distT="0" distB="0" distL="114300" distR="114300" simplePos="0" relativeHeight="251671552" behindDoc="0" locked="0" layoutInCell="1" allowOverlap="1" wp14:anchorId="331EABBF" wp14:editId="3AAF7B4E">
          <wp:simplePos x="0" y="0"/>
          <wp:positionH relativeFrom="page">
            <wp:posOffset>9778365</wp:posOffset>
          </wp:positionH>
          <wp:positionV relativeFrom="paragraph">
            <wp:posOffset>6350</wp:posOffset>
          </wp:positionV>
          <wp:extent cx="721360" cy="311150"/>
          <wp:effectExtent l="0" t="0" r="2540" b="0"/>
          <wp:wrapNone/>
          <wp:docPr id="9" name="Image 9"/>
          <wp:cNvGraphicFramePr/>
          <a:graphic xmlns:a="http://schemas.openxmlformats.org/drawingml/2006/main">
            <a:graphicData uri="http://schemas.openxmlformats.org/drawingml/2006/picture">
              <pic:pic xmlns:pic="http://schemas.openxmlformats.org/drawingml/2006/picture">
                <pic:nvPicPr>
                  <pic:cNvPr id="12" name="Image 9"/>
                  <pic:cNvPicPr/>
                </pic:nvPicPr>
                <pic:blipFill>
                  <a:blip r:embed="rId1">
                    <a:extLst>
                      <a:ext uri="{28A0092B-C50C-407E-A947-70E740481C1C}">
                        <a14:useLocalDpi xmlns:a14="http://schemas.microsoft.com/office/drawing/2010/main" val="0"/>
                      </a:ext>
                    </a:extLst>
                  </a:blip>
                  <a:srcRect l="2628" t="7158" r="5075" b="6955"/>
                  <a:stretch>
                    <a:fillRect/>
                  </a:stretch>
                </pic:blipFill>
                <pic:spPr bwMode="auto">
                  <a:xfrm>
                    <a:off x="0" y="0"/>
                    <a:ext cx="721360" cy="311150"/>
                  </a:xfrm>
                  <a:prstGeom prst="rect">
                    <a:avLst/>
                  </a:prstGeom>
                  <a:noFill/>
                  <a:ln>
                    <a:noFill/>
                  </a:ln>
                  <a:extLst/>
                </pic:spPr>
              </pic:pic>
            </a:graphicData>
          </a:graphic>
        </wp:anchor>
      </w:drawing>
    </w:r>
    <w:r w:rsidRPr="00EF0233">
      <w:rPr>
        <w:noProof/>
        <w:lang w:eastAsia="fr-FR"/>
      </w:rPr>
      <w:drawing>
        <wp:anchor distT="0" distB="0" distL="114300" distR="114300" simplePos="0" relativeHeight="251672576" behindDoc="0" locked="0" layoutInCell="1" allowOverlap="1" wp14:anchorId="791A2CA9" wp14:editId="7C303A9D">
          <wp:simplePos x="0" y="0"/>
          <wp:positionH relativeFrom="column">
            <wp:posOffset>-771525</wp:posOffset>
          </wp:positionH>
          <wp:positionV relativeFrom="paragraph">
            <wp:posOffset>-181610</wp:posOffset>
          </wp:positionV>
          <wp:extent cx="637540" cy="572770"/>
          <wp:effectExtent l="0" t="0" r="0" b="0"/>
          <wp:wrapNone/>
          <wp:docPr id="10" name="Image 18"/>
          <wp:cNvGraphicFramePr/>
          <a:graphic xmlns:a="http://schemas.openxmlformats.org/drawingml/2006/main">
            <a:graphicData uri="http://schemas.openxmlformats.org/drawingml/2006/picture">
              <pic:pic xmlns:pic="http://schemas.openxmlformats.org/drawingml/2006/picture">
                <pic:nvPicPr>
                  <pic:cNvPr id="13" name="Image 18"/>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40" cy="572770"/>
                  </a:xfrm>
                  <a:prstGeom prst="rect">
                    <a:avLst/>
                  </a:prstGeom>
                  <a:noFill/>
                  <a:ln>
                    <a:noFill/>
                  </a:ln>
                  <a:extLst/>
                </pic:spPr>
              </pic:pic>
            </a:graphicData>
          </a:graphic>
        </wp:anchor>
      </w:drawing>
    </w:r>
    <w:r w:rsidRPr="00EF0233">
      <w:rPr>
        <w:rFonts w:ascii="Cambria" w:eastAsia="Times New Roman" w:hAnsi="Cambria"/>
        <w:i/>
        <w:sz w:val="18"/>
        <w:szCs w:val="24"/>
        <w:lang w:eastAsia="fr-FR"/>
      </w:rPr>
      <w:t xml:space="preserve">Kit Outils Démocratie contributive  </w:t>
    </w:r>
    <w:r>
      <w:rPr>
        <w:rFonts w:ascii="Cambria" w:eastAsia="Times New Roman" w:hAnsi="Cambria"/>
        <w:i/>
        <w:sz w:val="18"/>
        <w:szCs w:val="24"/>
        <w:lang w:eastAsia="fr-FR"/>
      </w:rPr>
      <w:t xml:space="preserve">                                                                                                                                                                                                                                                            </w:t>
    </w:r>
    <w:r w:rsidRPr="00EF0233">
      <w:rPr>
        <w:rFonts w:ascii="Cambria" w:eastAsia="Times New Roman" w:hAnsi="Cambria"/>
        <w:i/>
        <w:sz w:val="18"/>
        <w:szCs w:val="24"/>
        <w:lang w:eastAsia="fr-FR"/>
      </w:rPr>
      <w:t>Avec l’appui de</w:t>
    </w:r>
  </w:p>
  <w:p w:rsidR="003572A0" w:rsidRPr="008957BB" w:rsidRDefault="008957BB" w:rsidP="005410DB">
    <w:pPr>
      <w:pStyle w:val="En-tte"/>
      <w:jc w:val="left"/>
      <w:rPr>
        <w:rFonts w:ascii="Cambria" w:eastAsia="Times New Roman" w:hAnsi="Cambria"/>
        <w:i/>
        <w:sz w:val="18"/>
        <w:szCs w:val="24"/>
        <w:lang w:eastAsia="fr-FR"/>
      </w:rPr>
    </w:pPr>
    <w:r>
      <w:rPr>
        <w:rFonts w:ascii="Cambria" w:eastAsia="Times New Roman" w:hAnsi="Cambria"/>
        <w:i/>
        <w:sz w:val="18"/>
        <w:szCs w:val="24"/>
        <w:lang w:eastAsia="fr-FR"/>
      </w:rPr>
      <w:t>ARENE Île-de-France – Juin 2016</w:t>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r w:rsidRPr="00EF0233">
      <w:rPr>
        <w:rFonts w:ascii="Cambria" w:eastAsia="Times New Roman" w:hAnsi="Cambria"/>
        <w:i/>
        <w:sz w:val="18"/>
        <w:szCs w:val="24"/>
        <w:lang w:eastAsia="fr-F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2A0" w:rsidRDefault="003572A0" w:rsidP="003572A0">
      <w:pPr>
        <w:spacing w:after="0" w:line="240" w:lineRule="auto"/>
      </w:pPr>
      <w:r>
        <w:separator/>
      </w:r>
    </w:p>
  </w:footnote>
  <w:footnote w:type="continuationSeparator" w:id="0">
    <w:p w:rsidR="003572A0" w:rsidRDefault="003572A0" w:rsidP="003572A0">
      <w:pPr>
        <w:spacing w:after="0" w:line="240" w:lineRule="auto"/>
      </w:pPr>
      <w:r>
        <w:continuationSeparator/>
      </w:r>
    </w:p>
  </w:footnote>
  <w:footnote w:id="1">
    <w:p w:rsidR="00B040FF" w:rsidRDefault="00B040FF" w:rsidP="00B040FF">
      <w:pPr>
        <w:pStyle w:val="Notedebasdepage1"/>
      </w:pPr>
      <w:r w:rsidRPr="00404CA6">
        <w:rPr>
          <w:rStyle w:val="Appelnotedebasdep"/>
          <w:sz w:val="18"/>
          <w:szCs w:val="18"/>
        </w:rPr>
        <w:footnoteRef/>
      </w:r>
      <w:r w:rsidRPr="00404CA6">
        <w:rPr>
          <w:sz w:val="18"/>
          <w:szCs w:val="18"/>
        </w:rPr>
        <w:t xml:space="preserve"> Institut d’Aménagement et d’Urbanisme d’Île-de-France (IAU), Institut National de la Statistique et des Études Économiques</w:t>
      </w:r>
      <w:r w:rsidRPr="00404CA6">
        <w:rPr>
          <w:sz w:val="18"/>
        </w:rPr>
        <w:t xml:space="preserve"> (INSEE), Chambre de Commerce et d’Industrie (CCI) Paris Île-de-France : Chiffres-clés de la région Île-de-France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359D"/>
    <w:multiLevelType w:val="hybridMultilevel"/>
    <w:tmpl w:val="FDF41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4574D"/>
    <w:multiLevelType w:val="multilevel"/>
    <w:tmpl w:val="F7B09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465DE2"/>
    <w:multiLevelType w:val="hybridMultilevel"/>
    <w:tmpl w:val="DB968468"/>
    <w:lvl w:ilvl="0" w:tplc="A330EA9C">
      <w:start w:val="1"/>
      <w:numFmt w:val="bullet"/>
      <w:lvlText w:val="-"/>
      <w:lvlJc w:val="left"/>
      <w:pPr>
        <w:ind w:left="720" w:hanging="360"/>
      </w:pPr>
      <w:rPr>
        <w:rFonts w:ascii="Cambria" w:eastAsia="Tahoma" w:hAnsi="Cambri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647934"/>
    <w:multiLevelType w:val="multilevel"/>
    <w:tmpl w:val="4A3E9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314166"/>
    <w:multiLevelType w:val="hybridMultilevel"/>
    <w:tmpl w:val="1AFA4888"/>
    <w:lvl w:ilvl="0" w:tplc="A330EA9C">
      <w:start w:val="1"/>
      <w:numFmt w:val="bullet"/>
      <w:lvlText w:val="-"/>
      <w:lvlJc w:val="left"/>
      <w:pPr>
        <w:ind w:left="720" w:hanging="360"/>
      </w:pPr>
      <w:rPr>
        <w:rFonts w:ascii="Cambria" w:eastAsia="Tahoma" w:hAnsi="Cambri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A83C9B"/>
    <w:multiLevelType w:val="hybridMultilevel"/>
    <w:tmpl w:val="A2529B6A"/>
    <w:lvl w:ilvl="0" w:tplc="D276B4AC">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8A4639"/>
    <w:multiLevelType w:val="hybridMultilevel"/>
    <w:tmpl w:val="8926ECB8"/>
    <w:lvl w:ilvl="0" w:tplc="D276B4AC">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7229D0"/>
    <w:multiLevelType w:val="hybridMultilevel"/>
    <w:tmpl w:val="7916BAA6"/>
    <w:lvl w:ilvl="0" w:tplc="A330EA9C">
      <w:start w:val="1"/>
      <w:numFmt w:val="bullet"/>
      <w:lvlText w:val="-"/>
      <w:lvlJc w:val="left"/>
      <w:pPr>
        <w:ind w:left="720" w:hanging="360"/>
      </w:pPr>
      <w:rPr>
        <w:rFonts w:ascii="Cambria" w:eastAsia="Tahoma" w:hAnsi="Cambri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8159FC"/>
    <w:multiLevelType w:val="hybridMultilevel"/>
    <w:tmpl w:val="CA1AE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17443B"/>
    <w:multiLevelType w:val="hybridMultilevel"/>
    <w:tmpl w:val="2ECCB56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8"/>
  </w:num>
  <w:num w:numId="5">
    <w:abstractNumId w:val="9"/>
  </w:num>
  <w:num w:numId="6">
    <w:abstractNumId w:val="0"/>
  </w:num>
  <w:num w:numId="7">
    <w:abstractNumId w:val="2"/>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2A0"/>
    <w:rsid w:val="000D595C"/>
    <w:rsid w:val="001468B2"/>
    <w:rsid w:val="0016402B"/>
    <w:rsid w:val="0019247C"/>
    <w:rsid w:val="00263F92"/>
    <w:rsid w:val="00282320"/>
    <w:rsid w:val="003572A0"/>
    <w:rsid w:val="003755E5"/>
    <w:rsid w:val="003C3A24"/>
    <w:rsid w:val="003F7BCF"/>
    <w:rsid w:val="00543D93"/>
    <w:rsid w:val="00570C55"/>
    <w:rsid w:val="005D619E"/>
    <w:rsid w:val="0073309E"/>
    <w:rsid w:val="00761636"/>
    <w:rsid w:val="007A36AD"/>
    <w:rsid w:val="007B41F7"/>
    <w:rsid w:val="00805040"/>
    <w:rsid w:val="008769CE"/>
    <w:rsid w:val="008957BB"/>
    <w:rsid w:val="009766BF"/>
    <w:rsid w:val="009E009B"/>
    <w:rsid w:val="009E619F"/>
    <w:rsid w:val="00AF678D"/>
    <w:rsid w:val="00B00E2F"/>
    <w:rsid w:val="00B040FF"/>
    <w:rsid w:val="00B22E35"/>
    <w:rsid w:val="00BC12C6"/>
    <w:rsid w:val="00CD643A"/>
    <w:rsid w:val="00D52193"/>
    <w:rsid w:val="00D90734"/>
    <w:rsid w:val="00E5664E"/>
    <w:rsid w:val="00E71E1D"/>
    <w:rsid w:val="00ED50CF"/>
    <w:rsid w:val="00EF0233"/>
    <w:rsid w:val="00FD0289"/>
    <w:rsid w:val="00FE17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EEB6070-4138-4B7B-85A1-758B6238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572A0"/>
    <w:pPr>
      <w:tabs>
        <w:tab w:val="center" w:pos="4536"/>
        <w:tab w:val="right" w:pos="9072"/>
      </w:tabs>
      <w:spacing w:after="0" w:line="240" w:lineRule="auto"/>
      <w:jc w:val="both"/>
    </w:pPr>
    <w:rPr>
      <w:rFonts w:ascii="Arial" w:eastAsia="Tahoma" w:hAnsi="Arial" w:cs="Times New Roman"/>
      <w:sz w:val="20"/>
    </w:rPr>
  </w:style>
  <w:style w:type="character" w:customStyle="1" w:styleId="En-tteCar">
    <w:name w:val="En-tête Car"/>
    <w:basedOn w:val="Policepardfaut"/>
    <w:link w:val="En-tte"/>
    <w:uiPriority w:val="99"/>
    <w:rsid w:val="003572A0"/>
    <w:rPr>
      <w:rFonts w:ascii="Arial" w:eastAsia="Tahoma" w:hAnsi="Arial" w:cs="Times New Roman"/>
      <w:sz w:val="20"/>
    </w:rPr>
  </w:style>
  <w:style w:type="table" w:styleId="Grilledutableau">
    <w:name w:val="Table Grid"/>
    <w:basedOn w:val="TableauNormal"/>
    <w:uiPriority w:val="59"/>
    <w:rsid w:val="003572A0"/>
    <w:pPr>
      <w:spacing w:after="0" w:line="240" w:lineRule="auto"/>
    </w:pPr>
    <w:rPr>
      <w:rFonts w:ascii="Arial" w:eastAsia="Calibri" w:hAnsi="Arial"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debasdepage1">
    <w:name w:val="Note de bas de page1"/>
    <w:basedOn w:val="Normal"/>
    <w:next w:val="Notedebasdepage"/>
    <w:link w:val="NotedebasdepageCar"/>
    <w:uiPriority w:val="99"/>
    <w:semiHidden/>
    <w:unhideWhenUsed/>
    <w:rsid w:val="003572A0"/>
    <w:pPr>
      <w:spacing w:after="0" w:line="240" w:lineRule="auto"/>
      <w:jc w:val="both"/>
    </w:pPr>
    <w:rPr>
      <w:rFonts w:cs="Times New Roman"/>
    </w:rPr>
  </w:style>
  <w:style w:type="character" w:customStyle="1" w:styleId="NotedebasdepageCar">
    <w:name w:val="Note de bas de page Car"/>
    <w:basedOn w:val="Policepardfaut"/>
    <w:link w:val="Notedebasdepage1"/>
    <w:uiPriority w:val="99"/>
    <w:semiHidden/>
    <w:rsid w:val="003572A0"/>
    <w:rPr>
      <w:rFonts w:cs="Times New Roman"/>
      <w:lang w:eastAsia="en-US"/>
    </w:rPr>
  </w:style>
  <w:style w:type="character" w:styleId="Appelnotedebasdep">
    <w:name w:val="footnote reference"/>
    <w:basedOn w:val="Policepardfaut"/>
    <w:uiPriority w:val="99"/>
    <w:semiHidden/>
    <w:unhideWhenUsed/>
    <w:rsid w:val="003572A0"/>
    <w:rPr>
      <w:vertAlign w:val="superscript"/>
    </w:rPr>
  </w:style>
  <w:style w:type="paragraph" w:styleId="Notedebasdepage">
    <w:name w:val="footnote text"/>
    <w:basedOn w:val="Normal"/>
    <w:link w:val="NotedebasdepageCar1"/>
    <w:uiPriority w:val="99"/>
    <w:semiHidden/>
    <w:unhideWhenUsed/>
    <w:rsid w:val="003572A0"/>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3572A0"/>
    <w:rPr>
      <w:sz w:val="20"/>
      <w:szCs w:val="20"/>
    </w:rPr>
  </w:style>
  <w:style w:type="paragraph" w:styleId="Lgende">
    <w:name w:val="caption"/>
    <w:basedOn w:val="Normal"/>
    <w:next w:val="Normal"/>
    <w:uiPriority w:val="35"/>
    <w:unhideWhenUsed/>
    <w:qFormat/>
    <w:rsid w:val="00ED50CF"/>
    <w:pPr>
      <w:spacing w:after="200" w:line="240" w:lineRule="auto"/>
    </w:pPr>
    <w:rPr>
      <w:i/>
      <w:iCs/>
      <w:color w:val="44546A" w:themeColor="text2"/>
      <w:sz w:val="18"/>
      <w:szCs w:val="18"/>
    </w:rPr>
  </w:style>
  <w:style w:type="paragraph" w:styleId="NormalWeb">
    <w:name w:val="Normal (Web)"/>
    <w:basedOn w:val="Normal"/>
    <w:uiPriority w:val="99"/>
    <w:unhideWhenUsed/>
    <w:rsid w:val="00761636"/>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Pieddepage">
    <w:name w:val="footer"/>
    <w:basedOn w:val="Normal"/>
    <w:link w:val="PieddepageCar"/>
    <w:uiPriority w:val="99"/>
    <w:unhideWhenUsed/>
    <w:rsid w:val="00D5219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2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51755">
      <w:bodyDiv w:val="1"/>
      <w:marLeft w:val="0"/>
      <w:marRight w:val="0"/>
      <w:marTop w:val="0"/>
      <w:marBottom w:val="0"/>
      <w:divBdr>
        <w:top w:val="none" w:sz="0" w:space="0" w:color="auto"/>
        <w:left w:val="none" w:sz="0" w:space="0" w:color="auto"/>
        <w:bottom w:val="none" w:sz="0" w:space="0" w:color="auto"/>
        <w:right w:val="none" w:sz="0" w:space="0" w:color="auto"/>
      </w:divBdr>
      <w:divsChild>
        <w:div w:id="725840931">
          <w:marLeft w:val="0"/>
          <w:marRight w:val="0"/>
          <w:marTop w:val="0"/>
          <w:marBottom w:val="0"/>
          <w:divBdr>
            <w:top w:val="none" w:sz="0" w:space="0" w:color="auto"/>
            <w:left w:val="none" w:sz="0" w:space="0" w:color="auto"/>
            <w:bottom w:val="none" w:sz="0" w:space="0" w:color="auto"/>
            <w:right w:val="none" w:sz="0" w:space="0" w:color="auto"/>
          </w:divBdr>
          <w:divsChild>
            <w:div w:id="70860641">
              <w:marLeft w:val="0"/>
              <w:marRight w:val="0"/>
              <w:marTop w:val="0"/>
              <w:marBottom w:val="0"/>
              <w:divBdr>
                <w:top w:val="none" w:sz="0" w:space="0" w:color="auto"/>
                <w:left w:val="none" w:sz="0" w:space="0" w:color="auto"/>
                <w:bottom w:val="none" w:sz="0" w:space="0" w:color="auto"/>
                <w:right w:val="none" w:sz="0" w:space="0" w:color="auto"/>
              </w:divBdr>
            </w:div>
            <w:div w:id="401567557">
              <w:marLeft w:val="0"/>
              <w:marRight w:val="0"/>
              <w:marTop w:val="0"/>
              <w:marBottom w:val="0"/>
              <w:divBdr>
                <w:top w:val="none" w:sz="0" w:space="0" w:color="auto"/>
                <w:left w:val="none" w:sz="0" w:space="0" w:color="auto"/>
                <w:bottom w:val="none" w:sz="0" w:space="0" w:color="auto"/>
                <w:right w:val="none" w:sz="0" w:space="0" w:color="auto"/>
              </w:divBdr>
            </w:div>
            <w:div w:id="1291127434">
              <w:marLeft w:val="0"/>
              <w:marRight w:val="0"/>
              <w:marTop w:val="0"/>
              <w:marBottom w:val="0"/>
              <w:divBdr>
                <w:top w:val="none" w:sz="0" w:space="0" w:color="auto"/>
                <w:left w:val="none" w:sz="0" w:space="0" w:color="auto"/>
                <w:bottom w:val="none" w:sz="0" w:space="0" w:color="auto"/>
                <w:right w:val="none" w:sz="0" w:space="0" w:color="auto"/>
              </w:divBdr>
            </w:div>
            <w:div w:id="1723749899">
              <w:marLeft w:val="0"/>
              <w:marRight w:val="0"/>
              <w:marTop w:val="0"/>
              <w:marBottom w:val="0"/>
              <w:divBdr>
                <w:top w:val="none" w:sz="0" w:space="0" w:color="auto"/>
                <w:left w:val="none" w:sz="0" w:space="0" w:color="auto"/>
                <w:bottom w:val="none" w:sz="0" w:space="0" w:color="auto"/>
                <w:right w:val="none" w:sz="0" w:space="0" w:color="auto"/>
              </w:divBdr>
            </w:div>
            <w:div w:id="2039042092">
              <w:marLeft w:val="0"/>
              <w:marRight w:val="0"/>
              <w:marTop w:val="0"/>
              <w:marBottom w:val="0"/>
              <w:divBdr>
                <w:top w:val="none" w:sz="0" w:space="0" w:color="auto"/>
                <w:left w:val="none" w:sz="0" w:space="0" w:color="auto"/>
                <w:bottom w:val="none" w:sz="0" w:space="0" w:color="auto"/>
                <w:right w:val="none" w:sz="0" w:space="0" w:color="auto"/>
              </w:divBdr>
            </w:div>
            <w:div w:id="1338264875">
              <w:marLeft w:val="0"/>
              <w:marRight w:val="0"/>
              <w:marTop w:val="0"/>
              <w:marBottom w:val="0"/>
              <w:divBdr>
                <w:top w:val="none" w:sz="0" w:space="0" w:color="auto"/>
                <w:left w:val="none" w:sz="0" w:space="0" w:color="auto"/>
                <w:bottom w:val="none" w:sz="0" w:space="0" w:color="auto"/>
                <w:right w:val="none" w:sz="0" w:space="0" w:color="auto"/>
              </w:divBdr>
            </w:div>
            <w:div w:id="2022730661">
              <w:marLeft w:val="0"/>
              <w:marRight w:val="0"/>
              <w:marTop w:val="0"/>
              <w:marBottom w:val="0"/>
              <w:divBdr>
                <w:top w:val="none" w:sz="0" w:space="0" w:color="auto"/>
                <w:left w:val="none" w:sz="0" w:space="0" w:color="auto"/>
                <w:bottom w:val="none" w:sz="0" w:space="0" w:color="auto"/>
                <w:right w:val="none" w:sz="0" w:space="0" w:color="auto"/>
              </w:divBdr>
            </w:div>
            <w:div w:id="1303926840">
              <w:marLeft w:val="0"/>
              <w:marRight w:val="0"/>
              <w:marTop w:val="0"/>
              <w:marBottom w:val="0"/>
              <w:divBdr>
                <w:top w:val="none" w:sz="0" w:space="0" w:color="auto"/>
                <w:left w:val="none" w:sz="0" w:space="0" w:color="auto"/>
                <w:bottom w:val="none" w:sz="0" w:space="0" w:color="auto"/>
                <w:right w:val="none" w:sz="0" w:space="0" w:color="auto"/>
              </w:divBdr>
            </w:div>
            <w:div w:id="1995907771">
              <w:marLeft w:val="0"/>
              <w:marRight w:val="0"/>
              <w:marTop w:val="0"/>
              <w:marBottom w:val="0"/>
              <w:divBdr>
                <w:top w:val="none" w:sz="0" w:space="0" w:color="auto"/>
                <w:left w:val="none" w:sz="0" w:space="0" w:color="auto"/>
                <w:bottom w:val="none" w:sz="0" w:space="0" w:color="auto"/>
                <w:right w:val="none" w:sz="0" w:space="0" w:color="auto"/>
              </w:divBdr>
            </w:div>
            <w:div w:id="1992513684">
              <w:marLeft w:val="0"/>
              <w:marRight w:val="0"/>
              <w:marTop w:val="0"/>
              <w:marBottom w:val="0"/>
              <w:divBdr>
                <w:top w:val="none" w:sz="0" w:space="0" w:color="auto"/>
                <w:left w:val="none" w:sz="0" w:space="0" w:color="auto"/>
                <w:bottom w:val="none" w:sz="0" w:space="0" w:color="auto"/>
                <w:right w:val="none" w:sz="0" w:space="0" w:color="auto"/>
              </w:divBdr>
            </w:div>
            <w:div w:id="1359772356">
              <w:marLeft w:val="0"/>
              <w:marRight w:val="0"/>
              <w:marTop w:val="0"/>
              <w:marBottom w:val="0"/>
              <w:divBdr>
                <w:top w:val="none" w:sz="0" w:space="0" w:color="auto"/>
                <w:left w:val="none" w:sz="0" w:space="0" w:color="auto"/>
                <w:bottom w:val="none" w:sz="0" w:space="0" w:color="auto"/>
                <w:right w:val="none" w:sz="0" w:space="0" w:color="auto"/>
              </w:divBdr>
            </w:div>
            <w:div w:id="1843398083">
              <w:marLeft w:val="0"/>
              <w:marRight w:val="0"/>
              <w:marTop w:val="0"/>
              <w:marBottom w:val="0"/>
              <w:divBdr>
                <w:top w:val="none" w:sz="0" w:space="0" w:color="auto"/>
                <w:left w:val="none" w:sz="0" w:space="0" w:color="auto"/>
                <w:bottom w:val="none" w:sz="0" w:space="0" w:color="auto"/>
                <w:right w:val="none" w:sz="0" w:space="0" w:color="auto"/>
              </w:divBdr>
            </w:div>
            <w:div w:id="185794970">
              <w:marLeft w:val="0"/>
              <w:marRight w:val="0"/>
              <w:marTop w:val="0"/>
              <w:marBottom w:val="0"/>
              <w:divBdr>
                <w:top w:val="none" w:sz="0" w:space="0" w:color="auto"/>
                <w:left w:val="none" w:sz="0" w:space="0" w:color="auto"/>
                <w:bottom w:val="none" w:sz="0" w:space="0" w:color="auto"/>
                <w:right w:val="none" w:sz="0" w:space="0" w:color="auto"/>
              </w:divBdr>
            </w:div>
            <w:div w:id="1902668781">
              <w:marLeft w:val="0"/>
              <w:marRight w:val="0"/>
              <w:marTop w:val="0"/>
              <w:marBottom w:val="0"/>
              <w:divBdr>
                <w:top w:val="none" w:sz="0" w:space="0" w:color="auto"/>
                <w:left w:val="none" w:sz="0" w:space="0" w:color="auto"/>
                <w:bottom w:val="none" w:sz="0" w:space="0" w:color="auto"/>
                <w:right w:val="none" w:sz="0" w:space="0" w:color="auto"/>
              </w:divBdr>
            </w:div>
            <w:div w:id="219369010">
              <w:marLeft w:val="0"/>
              <w:marRight w:val="0"/>
              <w:marTop w:val="0"/>
              <w:marBottom w:val="0"/>
              <w:divBdr>
                <w:top w:val="none" w:sz="0" w:space="0" w:color="auto"/>
                <w:left w:val="none" w:sz="0" w:space="0" w:color="auto"/>
                <w:bottom w:val="none" w:sz="0" w:space="0" w:color="auto"/>
                <w:right w:val="none" w:sz="0" w:space="0" w:color="auto"/>
              </w:divBdr>
            </w:div>
            <w:div w:id="97720604">
              <w:marLeft w:val="0"/>
              <w:marRight w:val="0"/>
              <w:marTop w:val="0"/>
              <w:marBottom w:val="0"/>
              <w:divBdr>
                <w:top w:val="none" w:sz="0" w:space="0" w:color="auto"/>
                <w:left w:val="none" w:sz="0" w:space="0" w:color="auto"/>
                <w:bottom w:val="none" w:sz="0" w:space="0" w:color="auto"/>
                <w:right w:val="none" w:sz="0" w:space="0" w:color="auto"/>
              </w:divBdr>
            </w:div>
            <w:div w:id="1344698345">
              <w:marLeft w:val="0"/>
              <w:marRight w:val="0"/>
              <w:marTop w:val="0"/>
              <w:marBottom w:val="0"/>
              <w:divBdr>
                <w:top w:val="none" w:sz="0" w:space="0" w:color="auto"/>
                <w:left w:val="none" w:sz="0" w:space="0" w:color="auto"/>
                <w:bottom w:val="none" w:sz="0" w:space="0" w:color="auto"/>
                <w:right w:val="none" w:sz="0" w:space="0" w:color="auto"/>
              </w:divBdr>
            </w:div>
            <w:div w:id="1053847861">
              <w:marLeft w:val="0"/>
              <w:marRight w:val="0"/>
              <w:marTop w:val="0"/>
              <w:marBottom w:val="0"/>
              <w:divBdr>
                <w:top w:val="none" w:sz="0" w:space="0" w:color="auto"/>
                <w:left w:val="none" w:sz="0" w:space="0" w:color="auto"/>
                <w:bottom w:val="none" w:sz="0" w:space="0" w:color="auto"/>
                <w:right w:val="none" w:sz="0" w:space="0" w:color="auto"/>
              </w:divBdr>
            </w:div>
            <w:div w:id="438567792">
              <w:marLeft w:val="0"/>
              <w:marRight w:val="0"/>
              <w:marTop w:val="0"/>
              <w:marBottom w:val="0"/>
              <w:divBdr>
                <w:top w:val="none" w:sz="0" w:space="0" w:color="auto"/>
                <w:left w:val="none" w:sz="0" w:space="0" w:color="auto"/>
                <w:bottom w:val="none" w:sz="0" w:space="0" w:color="auto"/>
                <w:right w:val="none" w:sz="0" w:space="0" w:color="auto"/>
              </w:divBdr>
            </w:div>
            <w:div w:id="1477911443">
              <w:marLeft w:val="0"/>
              <w:marRight w:val="0"/>
              <w:marTop w:val="0"/>
              <w:marBottom w:val="0"/>
              <w:divBdr>
                <w:top w:val="none" w:sz="0" w:space="0" w:color="auto"/>
                <w:left w:val="none" w:sz="0" w:space="0" w:color="auto"/>
                <w:bottom w:val="none" w:sz="0" w:space="0" w:color="auto"/>
                <w:right w:val="none" w:sz="0" w:space="0" w:color="auto"/>
              </w:divBdr>
            </w:div>
            <w:div w:id="1474369256">
              <w:marLeft w:val="0"/>
              <w:marRight w:val="0"/>
              <w:marTop w:val="0"/>
              <w:marBottom w:val="0"/>
              <w:divBdr>
                <w:top w:val="none" w:sz="0" w:space="0" w:color="auto"/>
                <w:left w:val="none" w:sz="0" w:space="0" w:color="auto"/>
                <w:bottom w:val="none" w:sz="0" w:space="0" w:color="auto"/>
                <w:right w:val="none" w:sz="0" w:space="0" w:color="auto"/>
              </w:divBdr>
            </w:div>
            <w:div w:id="1060058356">
              <w:marLeft w:val="0"/>
              <w:marRight w:val="0"/>
              <w:marTop w:val="0"/>
              <w:marBottom w:val="0"/>
              <w:divBdr>
                <w:top w:val="none" w:sz="0" w:space="0" w:color="auto"/>
                <w:left w:val="none" w:sz="0" w:space="0" w:color="auto"/>
                <w:bottom w:val="none" w:sz="0" w:space="0" w:color="auto"/>
                <w:right w:val="none" w:sz="0" w:space="0" w:color="auto"/>
              </w:divBdr>
            </w:div>
            <w:div w:id="2087532690">
              <w:marLeft w:val="0"/>
              <w:marRight w:val="0"/>
              <w:marTop w:val="0"/>
              <w:marBottom w:val="0"/>
              <w:divBdr>
                <w:top w:val="none" w:sz="0" w:space="0" w:color="auto"/>
                <w:left w:val="none" w:sz="0" w:space="0" w:color="auto"/>
                <w:bottom w:val="none" w:sz="0" w:space="0" w:color="auto"/>
                <w:right w:val="none" w:sz="0" w:space="0" w:color="auto"/>
              </w:divBdr>
            </w:div>
            <w:div w:id="1346907999">
              <w:marLeft w:val="0"/>
              <w:marRight w:val="0"/>
              <w:marTop w:val="0"/>
              <w:marBottom w:val="0"/>
              <w:divBdr>
                <w:top w:val="none" w:sz="0" w:space="0" w:color="auto"/>
                <w:left w:val="none" w:sz="0" w:space="0" w:color="auto"/>
                <w:bottom w:val="none" w:sz="0" w:space="0" w:color="auto"/>
                <w:right w:val="none" w:sz="0" w:space="0" w:color="auto"/>
              </w:divBdr>
            </w:div>
            <w:div w:id="1685745321">
              <w:marLeft w:val="0"/>
              <w:marRight w:val="0"/>
              <w:marTop w:val="0"/>
              <w:marBottom w:val="0"/>
              <w:divBdr>
                <w:top w:val="none" w:sz="0" w:space="0" w:color="auto"/>
                <w:left w:val="none" w:sz="0" w:space="0" w:color="auto"/>
                <w:bottom w:val="none" w:sz="0" w:space="0" w:color="auto"/>
                <w:right w:val="none" w:sz="0" w:space="0" w:color="auto"/>
              </w:divBdr>
            </w:div>
            <w:div w:id="1669748806">
              <w:marLeft w:val="0"/>
              <w:marRight w:val="0"/>
              <w:marTop w:val="0"/>
              <w:marBottom w:val="0"/>
              <w:divBdr>
                <w:top w:val="none" w:sz="0" w:space="0" w:color="auto"/>
                <w:left w:val="none" w:sz="0" w:space="0" w:color="auto"/>
                <w:bottom w:val="none" w:sz="0" w:space="0" w:color="auto"/>
                <w:right w:val="none" w:sz="0" w:space="0" w:color="auto"/>
              </w:divBdr>
            </w:div>
            <w:div w:id="417481187">
              <w:marLeft w:val="0"/>
              <w:marRight w:val="0"/>
              <w:marTop w:val="0"/>
              <w:marBottom w:val="0"/>
              <w:divBdr>
                <w:top w:val="none" w:sz="0" w:space="0" w:color="auto"/>
                <w:left w:val="none" w:sz="0" w:space="0" w:color="auto"/>
                <w:bottom w:val="none" w:sz="0" w:space="0" w:color="auto"/>
                <w:right w:val="none" w:sz="0" w:space="0" w:color="auto"/>
              </w:divBdr>
            </w:div>
            <w:div w:id="930940960">
              <w:marLeft w:val="0"/>
              <w:marRight w:val="0"/>
              <w:marTop w:val="0"/>
              <w:marBottom w:val="0"/>
              <w:divBdr>
                <w:top w:val="none" w:sz="0" w:space="0" w:color="auto"/>
                <w:left w:val="none" w:sz="0" w:space="0" w:color="auto"/>
                <w:bottom w:val="none" w:sz="0" w:space="0" w:color="auto"/>
                <w:right w:val="none" w:sz="0" w:space="0" w:color="auto"/>
              </w:divBdr>
            </w:div>
            <w:div w:id="1245602745">
              <w:marLeft w:val="0"/>
              <w:marRight w:val="0"/>
              <w:marTop w:val="0"/>
              <w:marBottom w:val="0"/>
              <w:divBdr>
                <w:top w:val="none" w:sz="0" w:space="0" w:color="auto"/>
                <w:left w:val="none" w:sz="0" w:space="0" w:color="auto"/>
                <w:bottom w:val="none" w:sz="0" w:space="0" w:color="auto"/>
                <w:right w:val="none" w:sz="0" w:space="0" w:color="auto"/>
              </w:divBdr>
            </w:div>
            <w:div w:id="1568958022">
              <w:marLeft w:val="0"/>
              <w:marRight w:val="0"/>
              <w:marTop w:val="0"/>
              <w:marBottom w:val="0"/>
              <w:divBdr>
                <w:top w:val="none" w:sz="0" w:space="0" w:color="auto"/>
                <w:left w:val="none" w:sz="0" w:space="0" w:color="auto"/>
                <w:bottom w:val="none" w:sz="0" w:space="0" w:color="auto"/>
                <w:right w:val="none" w:sz="0" w:space="0" w:color="auto"/>
              </w:divBdr>
            </w:div>
            <w:div w:id="1008601870">
              <w:marLeft w:val="0"/>
              <w:marRight w:val="0"/>
              <w:marTop w:val="0"/>
              <w:marBottom w:val="0"/>
              <w:divBdr>
                <w:top w:val="none" w:sz="0" w:space="0" w:color="auto"/>
                <w:left w:val="none" w:sz="0" w:space="0" w:color="auto"/>
                <w:bottom w:val="none" w:sz="0" w:space="0" w:color="auto"/>
                <w:right w:val="none" w:sz="0" w:space="0" w:color="auto"/>
              </w:divBdr>
            </w:div>
            <w:div w:id="394857527">
              <w:marLeft w:val="0"/>
              <w:marRight w:val="0"/>
              <w:marTop w:val="0"/>
              <w:marBottom w:val="0"/>
              <w:divBdr>
                <w:top w:val="none" w:sz="0" w:space="0" w:color="auto"/>
                <w:left w:val="none" w:sz="0" w:space="0" w:color="auto"/>
                <w:bottom w:val="none" w:sz="0" w:space="0" w:color="auto"/>
                <w:right w:val="none" w:sz="0" w:space="0" w:color="auto"/>
              </w:divBdr>
            </w:div>
            <w:div w:id="389773827">
              <w:marLeft w:val="0"/>
              <w:marRight w:val="0"/>
              <w:marTop w:val="0"/>
              <w:marBottom w:val="0"/>
              <w:divBdr>
                <w:top w:val="none" w:sz="0" w:space="0" w:color="auto"/>
                <w:left w:val="none" w:sz="0" w:space="0" w:color="auto"/>
                <w:bottom w:val="none" w:sz="0" w:space="0" w:color="auto"/>
                <w:right w:val="none" w:sz="0" w:space="0" w:color="auto"/>
              </w:divBdr>
            </w:div>
            <w:div w:id="1839928022">
              <w:marLeft w:val="0"/>
              <w:marRight w:val="0"/>
              <w:marTop w:val="0"/>
              <w:marBottom w:val="0"/>
              <w:divBdr>
                <w:top w:val="none" w:sz="0" w:space="0" w:color="auto"/>
                <w:left w:val="none" w:sz="0" w:space="0" w:color="auto"/>
                <w:bottom w:val="none" w:sz="0" w:space="0" w:color="auto"/>
                <w:right w:val="none" w:sz="0" w:space="0" w:color="auto"/>
              </w:divBdr>
            </w:div>
            <w:div w:id="627591006">
              <w:marLeft w:val="0"/>
              <w:marRight w:val="0"/>
              <w:marTop w:val="0"/>
              <w:marBottom w:val="0"/>
              <w:divBdr>
                <w:top w:val="none" w:sz="0" w:space="0" w:color="auto"/>
                <w:left w:val="none" w:sz="0" w:space="0" w:color="auto"/>
                <w:bottom w:val="none" w:sz="0" w:space="0" w:color="auto"/>
                <w:right w:val="none" w:sz="0" w:space="0" w:color="auto"/>
              </w:divBdr>
            </w:div>
            <w:div w:id="1973821581">
              <w:marLeft w:val="0"/>
              <w:marRight w:val="0"/>
              <w:marTop w:val="0"/>
              <w:marBottom w:val="0"/>
              <w:divBdr>
                <w:top w:val="none" w:sz="0" w:space="0" w:color="auto"/>
                <w:left w:val="none" w:sz="0" w:space="0" w:color="auto"/>
                <w:bottom w:val="none" w:sz="0" w:space="0" w:color="auto"/>
                <w:right w:val="none" w:sz="0" w:space="0" w:color="auto"/>
              </w:divBdr>
            </w:div>
            <w:div w:id="1373381088">
              <w:marLeft w:val="0"/>
              <w:marRight w:val="0"/>
              <w:marTop w:val="0"/>
              <w:marBottom w:val="0"/>
              <w:divBdr>
                <w:top w:val="none" w:sz="0" w:space="0" w:color="auto"/>
                <w:left w:val="none" w:sz="0" w:space="0" w:color="auto"/>
                <w:bottom w:val="none" w:sz="0" w:space="0" w:color="auto"/>
                <w:right w:val="none" w:sz="0" w:space="0" w:color="auto"/>
              </w:divBdr>
            </w:div>
            <w:div w:id="431827515">
              <w:marLeft w:val="0"/>
              <w:marRight w:val="0"/>
              <w:marTop w:val="0"/>
              <w:marBottom w:val="0"/>
              <w:divBdr>
                <w:top w:val="none" w:sz="0" w:space="0" w:color="auto"/>
                <w:left w:val="none" w:sz="0" w:space="0" w:color="auto"/>
                <w:bottom w:val="none" w:sz="0" w:space="0" w:color="auto"/>
                <w:right w:val="none" w:sz="0" w:space="0" w:color="auto"/>
              </w:divBdr>
            </w:div>
            <w:div w:id="997686571">
              <w:marLeft w:val="0"/>
              <w:marRight w:val="0"/>
              <w:marTop w:val="0"/>
              <w:marBottom w:val="0"/>
              <w:divBdr>
                <w:top w:val="none" w:sz="0" w:space="0" w:color="auto"/>
                <w:left w:val="none" w:sz="0" w:space="0" w:color="auto"/>
                <w:bottom w:val="none" w:sz="0" w:space="0" w:color="auto"/>
                <w:right w:val="none" w:sz="0" w:space="0" w:color="auto"/>
              </w:divBdr>
            </w:div>
            <w:div w:id="93520905">
              <w:marLeft w:val="0"/>
              <w:marRight w:val="0"/>
              <w:marTop w:val="0"/>
              <w:marBottom w:val="0"/>
              <w:divBdr>
                <w:top w:val="none" w:sz="0" w:space="0" w:color="auto"/>
                <w:left w:val="none" w:sz="0" w:space="0" w:color="auto"/>
                <w:bottom w:val="none" w:sz="0" w:space="0" w:color="auto"/>
                <w:right w:val="none" w:sz="0" w:space="0" w:color="auto"/>
              </w:divBdr>
            </w:div>
            <w:div w:id="1486434159">
              <w:marLeft w:val="0"/>
              <w:marRight w:val="0"/>
              <w:marTop w:val="0"/>
              <w:marBottom w:val="0"/>
              <w:divBdr>
                <w:top w:val="none" w:sz="0" w:space="0" w:color="auto"/>
                <w:left w:val="none" w:sz="0" w:space="0" w:color="auto"/>
                <w:bottom w:val="none" w:sz="0" w:space="0" w:color="auto"/>
                <w:right w:val="none" w:sz="0" w:space="0" w:color="auto"/>
              </w:divBdr>
            </w:div>
            <w:div w:id="1357075346">
              <w:marLeft w:val="0"/>
              <w:marRight w:val="0"/>
              <w:marTop w:val="0"/>
              <w:marBottom w:val="0"/>
              <w:divBdr>
                <w:top w:val="none" w:sz="0" w:space="0" w:color="auto"/>
                <w:left w:val="none" w:sz="0" w:space="0" w:color="auto"/>
                <w:bottom w:val="none" w:sz="0" w:space="0" w:color="auto"/>
                <w:right w:val="none" w:sz="0" w:space="0" w:color="auto"/>
              </w:divBdr>
            </w:div>
            <w:div w:id="595331569">
              <w:marLeft w:val="0"/>
              <w:marRight w:val="0"/>
              <w:marTop w:val="0"/>
              <w:marBottom w:val="0"/>
              <w:divBdr>
                <w:top w:val="none" w:sz="0" w:space="0" w:color="auto"/>
                <w:left w:val="none" w:sz="0" w:space="0" w:color="auto"/>
                <w:bottom w:val="none" w:sz="0" w:space="0" w:color="auto"/>
                <w:right w:val="none" w:sz="0" w:space="0" w:color="auto"/>
              </w:divBdr>
            </w:div>
            <w:div w:id="1846360778">
              <w:marLeft w:val="0"/>
              <w:marRight w:val="0"/>
              <w:marTop w:val="0"/>
              <w:marBottom w:val="0"/>
              <w:divBdr>
                <w:top w:val="none" w:sz="0" w:space="0" w:color="auto"/>
                <w:left w:val="none" w:sz="0" w:space="0" w:color="auto"/>
                <w:bottom w:val="none" w:sz="0" w:space="0" w:color="auto"/>
                <w:right w:val="none" w:sz="0" w:space="0" w:color="auto"/>
              </w:divBdr>
            </w:div>
            <w:div w:id="1887643492">
              <w:marLeft w:val="0"/>
              <w:marRight w:val="0"/>
              <w:marTop w:val="0"/>
              <w:marBottom w:val="0"/>
              <w:divBdr>
                <w:top w:val="none" w:sz="0" w:space="0" w:color="auto"/>
                <w:left w:val="none" w:sz="0" w:space="0" w:color="auto"/>
                <w:bottom w:val="none" w:sz="0" w:space="0" w:color="auto"/>
                <w:right w:val="none" w:sz="0" w:space="0" w:color="auto"/>
              </w:divBdr>
            </w:div>
            <w:div w:id="733546466">
              <w:marLeft w:val="0"/>
              <w:marRight w:val="0"/>
              <w:marTop w:val="0"/>
              <w:marBottom w:val="0"/>
              <w:divBdr>
                <w:top w:val="none" w:sz="0" w:space="0" w:color="auto"/>
                <w:left w:val="none" w:sz="0" w:space="0" w:color="auto"/>
                <w:bottom w:val="none" w:sz="0" w:space="0" w:color="auto"/>
                <w:right w:val="none" w:sz="0" w:space="0" w:color="auto"/>
              </w:divBdr>
            </w:div>
            <w:div w:id="1868172794">
              <w:marLeft w:val="0"/>
              <w:marRight w:val="0"/>
              <w:marTop w:val="0"/>
              <w:marBottom w:val="0"/>
              <w:divBdr>
                <w:top w:val="none" w:sz="0" w:space="0" w:color="auto"/>
                <w:left w:val="none" w:sz="0" w:space="0" w:color="auto"/>
                <w:bottom w:val="none" w:sz="0" w:space="0" w:color="auto"/>
                <w:right w:val="none" w:sz="0" w:space="0" w:color="auto"/>
              </w:divBdr>
            </w:div>
            <w:div w:id="1064910012">
              <w:marLeft w:val="0"/>
              <w:marRight w:val="0"/>
              <w:marTop w:val="0"/>
              <w:marBottom w:val="0"/>
              <w:divBdr>
                <w:top w:val="none" w:sz="0" w:space="0" w:color="auto"/>
                <w:left w:val="none" w:sz="0" w:space="0" w:color="auto"/>
                <w:bottom w:val="none" w:sz="0" w:space="0" w:color="auto"/>
                <w:right w:val="none" w:sz="0" w:space="0" w:color="auto"/>
              </w:divBdr>
            </w:div>
            <w:div w:id="501429197">
              <w:marLeft w:val="0"/>
              <w:marRight w:val="0"/>
              <w:marTop w:val="0"/>
              <w:marBottom w:val="0"/>
              <w:divBdr>
                <w:top w:val="none" w:sz="0" w:space="0" w:color="auto"/>
                <w:left w:val="none" w:sz="0" w:space="0" w:color="auto"/>
                <w:bottom w:val="none" w:sz="0" w:space="0" w:color="auto"/>
                <w:right w:val="none" w:sz="0" w:space="0" w:color="auto"/>
              </w:divBdr>
            </w:div>
            <w:div w:id="1274047939">
              <w:marLeft w:val="0"/>
              <w:marRight w:val="0"/>
              <w:marTop w:val="0"/>
              <w:marBottom w:val="0"/>
              <w:divBdr>
                <w:top w:val="none" w:sz="0" w:space="0" w:color="auto"/>
                <w:left w:val="none" w:sz="0" w:space="0" w:color="auto"/>
                <w:bottom w:val="none" w:sz="0" w:space="0" w:color="auto"/>
                <w:right w:val="none" w:sz="0" w:space="0" w:color="auto"/>
              </w:divBdr>
            </w:div>
            <w:div w:id="1952978265">
              <w:marLeft w:val="0"/>
              <w:marRight w:val="0"/>
              <w:marTop w:val="0"/>
              <w:marBottom w:val="0"/>
              <w:divBdr>
                <w:top w:val="none" w:sz="0" w:space="0" w:color="auto"/>
                <w:left w:val="none" w:sz="0" w:space="0" w:color="auto"/>
                <w:bottom w:val="none" w:sz="0" w:space="0" w:color="auto"/>
                <w:right w:val="none" w:sz="0" w:space="0" w:color="auto"/>
              </w:divBdr>
            </w:div>
            <w:div w:id="80302588">
              <w:marLeft w:val="0"/>
              <w:marRight w:val="0"/>
              <w:marTop w:val="0"/>
              <w:marBottom w:val="0"/>
              <w:divBdr>
                <w:top w:val="none" w:sz="0" w:space="0" w:color="auto"/>
                <w:left w:val="none" w:sz="0" w:space="0" w:color="auto"/>
                <w:bottom w:val="none" w:sz="0" w:space="0" w:color="auto"/>
                <w:right w:val="none" w:sz="0" w:space="0" w:color="auto"/>
              </w:divBdr>
            </w:div>
            <w:div w:id="1227572068">
              <w:marLeft w:val="0"/>
              <w:marRight w:val="0"/>
              <w:marTop w:val="0"/>
              <w:marBottom w:val="0"/>
              <w:divBdr>
                <w:top w:val="none" w:sz="0" w:space="0" w:color="auto"/>
                <w:left w:val="none" w:sz="0" w:space="0" w:color="auto"/>
                <w:bottom w:val="none" w:sz="0" w:space="0" w:color="auto"/>
                <w:right w:val="none" w:sz="0" w:space="0" w:color="auto"/>
              </w:divBdr>
            </w:div>
            <w:div w:id="2138180881">
              <w:marLeft w:val="0"/>
              <w:marRight w:val="0"/>
              <w:marTop w:val="0"/>
              <w:marBottom w:val="0"/>
              <w:divBdr>
                <w:top w:val="none" w:sz="0" w:space="0" w:color="auto"/>
                <w:left w:val="none" w:sz="0" w:space="0" w:color="auto"/>
                <w:bottom w:val="none" w:sz="0" w:space="0" w:color="auto"/>
                <w:right w:val="none" w:sz="0" w:space="0" w:color="auto"/>
              </w:divBdr>
            </w:div>
            <w:div w:id="1226838540">
              <w:marLeft w:val="0"/>
              <w:marRight w:val="0"/>
              <w:marTop w:val="0"/>
              <w:marBottom w:val="0"/>
              <w:divBdr>
                <w:top w:val="none" w:sz="0" w:space="0" w:color="auto"/>
                <w:left w:val="none" w:sz="0" w:space="0" w:color="auto"/>
                <w:bottom w:val="none" w:sz="0" w:space="0" w:color="auto"/>
                <w:right w:val="none" w:sz="0" w:space="0" w:color="auto"/>
              </w:divBdr>
            </w:div>
            <w:div w:id="1531256605">
              <w:marLeft w:val="0"/>
              <w:marRight w:val="0"/>
              <w:marTop w:val="0"/>
              <w:marBottom w:val="0"/>
              <w:divBdr>
                <w:top w:val="none" w:sz="0" w:space="0" w:color="auto"/>
                <w:left w:val="none" w:sz="0" w:space="0" w:color="auto"/>
                <w:bottom w:val="none" w:sz="0" w:space="0" w:color="auto"/>
                <w:right w:val="none" w:sz="0" w:space="0" w:color="auto"/>
              </w:divBdr>
            </w:div>
            <w:div w:id="886648811">
              <w:marLeft w:val="0"/>
              <w:marRight w:val="0"/>
              <w:marTop w:val="0"/>
              <w:marBottom w:val="0"/>
              <w:divBdr>
                <w:top w:val="none" w:sz="0" w:space="0" w:color="auto"/>
                <w:left w:val="none" w:sz="0" w:space="0" w:color="auto"/>
                <w:bottom w:val="none" w:sz="0" w:space="0" w:color="auto"/>
                <w:right w:val="none" w:sz="0" w:space="0" w:color="auto"/>
              </w:divBdr>
            </w:div>
            <w:div w:id="1829977303">
              <w:marLeft w:val="0"/>
              <w:marRight w:val="0"/>
              <w:marTop w:val="0"/>
              <w:marBottom w:val="0"/>
              <w:divBdr>
                <w:top w:val="none" w:sz="0" w:space="0" w:color="auto"/>
                <w:left w:val="none" w:sz="0" w:space="0" w:color="auto"/>
                <w:bottom w:val="none" w:sz="0" w:space="0" w:color="auto"/>
                <w:right w:val="none" w:sz="0" w:space="0" w:color="auto"/>
              </w:divBdr>
            </w:div>
            <w:div w:id="190414802">
              <w:marLeft w:val="0"/>
              <w:marRight w:val="0"/>
              <w:marTop w:val="0"/>
              <w:marBottom w:val="0"/>
              <w:divBdr>
                <w:top w:val="none" w:sz="0" w:space="0" w:color="auto"/>
                <w:left w:val="none" w:sz="0" w:space="0" w:color="auto"/>
                <w:bottom w:val="none" w:sz="0" w:space="0" w:color="auto"/>
                <w:right w:val="none" w:sz="0" w:space="0" w:color="auto"/>
              </w:divBdr>
            </w:div>
            <w:div w:id="1195120489">
              <w:marLeft w:val="0"/>
              <w:marRight w:val="0"/>
              <w:marTop w:val="0"/>
              <w:marBottom w:val="0"/>
              <w:divBdr>
                <w:top w:val="none" w:sz="0" w:space="0" w:color="auto"/>
                <w:left w:val="none" w:sz="0" w:space="0" w:color="auto"/>
                <w:bottom w:val="none" w:sz="0" w:space="0" w:color="auto"/>
                <w:right w:val="none" w:sz="0" w:space="0" w:color="auto"/>
              </w:divBdr>
            </w:div>
            <w:div w:id="915238542">
              <w:marLeft w:val="0"/>
              <w:marRight w:val="0"/>
              <w:marTop w:val="0"/>
              <w:marBottom w:val="0"/>
              <w:divBdr>
                <w:top w:val="none" w:sz="0" w:space="0" w:color="auto"/>
                <w:left w:val="none" w:sz="0" w:space="0" w:color="auto"/>
                <w:bottom w:val="none" w:sz="0" w:space="0" w:color="auto"/>
                <w:right w:val="none" w:sz="0" w:space="0" w:color="auto"/>
              </w:divBdr>
            </w:div>
            <w:div w:id="1545364222">
              <w:marLeft w:val="0"/>
              <w:marRight w:val="0"/>
              <w:marTop w:val="0"/>
              <w:marBottom w:val="0"/>
              <w:divBdr>
                <w:top w:val="none" w:sz="0" w:space="0" w:color="auto"/>
                <w:left w:val="none" w:sz="0" w:space="0" w:color="auto"/>
                <w:bottom w:val="none" w:sz="0" w:space="0" w:color="auto"/>
                <w:right w:val="none" w:sz="0" w:space="0" w:color="auto"/>
              </w:divBdr>
            </w:div>
            <w:div w:id="1130440379">
              <w:marLeft w:val="0"/>
              <w:marRight w:val="0"/>
              <w:marTop w:val="0"/>
              <w:marBottom w:val="0"/>
              <w:divBdr>
                <w:top w:val="none" w:sz="0" w:space="0" w:color="auto"/>
                <w:left w:val="none" w:sz="0" w:space="0" w:color="auto"/>
                <w:bottom w:val="none" w:sz="0" w:space="0" w:color="auto"/>
                <w:right w:val="none" w:sz="0" w:space="0" w:color="auto"/>
              </w:divBdr>
            </w:div>
            <w:div w:id="1430199296">
              <w:marLeft w:val="0"/>
              <w:marRight w:val="0"/>
              <w:marTop w:val="0"/>
              <w:marBottom w:val="0"/>
              <w:divBdr>
                <w:top w:val="none" w:sz="0" w:space="0" w:color="auto"/>
                <w:left w:val="none" w:sz="0" w:space="0" w:color="auto"/>
                <w:bottom w:val="none" w:sz="0" w:space="0" w:color="auto"/>
                <w:right w:val="none" w:sz="0" w:space="0" w:color="auto"/>
              </w:divBdr>
            </w:div>
            <w:div w:id="1162159538">
              <w:marLeft w:val="0"/>
              <w:marRight w:val="0"/>
              <w:marTop w:val="0"/>
              <w:marBottom w:val="0"/>
              <w:divBdr>
                <w:top w:val="none" w:sz="0" w:space="0" w:color="auto"/>
                <w:left w:val="none" w:sz="0" w:space="0" w:color="auto"/>
                <w:bottom w:val="none" w:sz="0" w:space="0" w:color="auto"/>
                <w:right w:val="none" w:sz="0" w:space="0" w:color="auto"/>
              </w:divBdr>
            </w:div>
            <w:div w:id="781614519">
              <w:marLeft w:val="0"/>
              <w:marRight w:val="0"/>
              <w:marTop w:val="0"/>
              <w:marBottom w:val="0"/>
              <w:divBdr>
                <w:top w:val="none" w:sz="0" w:space="0" w:color="auto"/>
                <w:left w:val="none" w:sz="0" w:space="0" w:color="auto"/>
                <w:bottom w:val="none" w:sz="0" w:space="0" w:color="auto"/>
                <w:right w:val="none" w:sz="0" w:space="0" w:color="auto"/>
              </w:divBdr>
            </w:div>
            <w:div w:id="2040079565">
              <w:marLeft w:val="0"/>
              <w:marRight w:val="0"/>
              <w:marTop w:val="0"/>
              <w:marBottom w:val="0"/>
              <w:divBdr>
                <w:top w:val="none" w:sz="0" w:space="0" w:color="auto"/>
                <w:left w:val="none" w:sz="0" w:space="0" w:color="auto"/>
                <w:bottom w:val="none" w:sz="0" w:space="0" w:color="auto"/>
                <w:right w:val="none" w:sz="0" w:space="0" w:color="auto"/>
              </w:divBdr>
            </w:div>
            <w:div w:id="1698890466">
              <w:marLeft w:val="0"/>
              <w:marRight w:val="0"/>
              <w:marTop w:val="0"/>
              <w:marBottom w:val="0"/>
              <w:divBdr>
                <w:top w:val="none" w:sz="0" w:space="0" w:color="auto"/>
                <w:left w:val="none" w:sz="0" w:space="0" w:color="auto"/>
                <w:bottom w:val="none" w:sz="0" w:space="0" w:color="auto"/>
                <w:right w:val="none" w:sz="0" w:space="0" w:color="auto"/>
              </w:divBdr>
            </w:div>
            <w:div w:id="512260266">
              <w:marLeft w:val="0"/>
              <w:marRight w:val="0"/>
              <w:marTop w:val="0"/>
              <w:marBottom w:val="0"/>
              <w:divBdr>
                <w:top w:val="none" w:sz="0" w:space="0" w:color="auto"/>
                <w:left w:val="none" w:sz="0" w:space="0" w:color="auto"/>
                <w:bottom w:val="none" w:sz="0" w:space="0" w:color="auto"/>
                <w:right w:val="none" w:sz="0" w:space="0" w:color="auto"/>
              </w:divBdr>
            </w:div>
            <w:div w:id="1004699593">
              <w:marLeft w:val="0"/>
              <w:marRight w:val="0"/>
              <w:marTop w:val="0"/>
              <w:marBottom w:val="0"/>
              <w:divBdr>
                <w:top w:val="none" w:sz="0" w:space="0" w:color="auto"/>
                <w:left w:val="none" w:sz="0" w:space="0" w:color="auto"/>
                <w:bottom w:val="none" w:sz="0" w:space="0" w:color="auto"/>
                <w:right w:val="none" w:sz="0" w:space="0" w:color="auto"/>
              </w:divBdr>
            </w:div>
            <w:div w:id="1921258746">
              <w:marLeft w:val="0"/>
              <w:marRight w:val="0"/>
              <w:marTop w:val="0"/>
              <w:marBottom w:val="0"/>
              <w:divBdr>
                <w:top w:val="none" w:sz="0" w:space="0" w:color="auto"/>
                <w:left w:val="none" w:sz="0" w:space="0" w:color="auto"/>
                <w:bottom w:val="none" w:sz="0" w:space="0" w:color="auto"/>
                <w:right w:val="none" w:sz="0" w:space="0" w:color="auto"/>
              </w:divBdr>
            </w:div>
            <w:div w:id="1302929845">
              <w:marLeft w:val="0"/>
              <w:marRight w:val="0"/>
              <w:marTop w:val="0"/>
              <w:marBottom w:val="0"/>
              <w:divBdr>
                <w:top w:val="none" w:sz="0" w:space="0" w:color="auto"/>
                <w:left w:val="none" w:sz="0" w:space="0" w:color="auto"/>
                <w:bottom w:val="none" w:sz="0" w:space="0" w:color="auto"/>
                <w:right w:val="none" w:sz="0" w:space="0" w:color="auto"/>
              </w:divBdr>
            </w:div>
            <w:div w:id="636253733">
              <w:marLeft w:val="0"/>
              <w:marRight w:val="0"/>
              <w:marTop w:val="0"/>
              <w:marBottom w:val="0"/>
              <w:divBdr>
                <w:top w:val="none" w:sz="0" w:space="0" w:color="auto"/>
                <w:left w:val="none" w:sz="0" w:space="0" w:color="auto"/>
                <w:bottom w:val="none" w:sz="0" w:space="0" w:color="auto"/>
                <w:right w:val="none" w:sz="0" w:space="0" w:color="auto"/>
              </w:divBdr>
            </w:div>
            <w:div w:id="6631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96259">
      <w:bodyDiv w:val="1"/>
      <w:marLeft w:val="0"/>
      <w:marRight w:val="0"/>
      <w:marTop w:val="0"/>
      <w:marBottom w:val="0"/>
      <w:divBdr>
        <w:top w:val="none" w:sz="0" w:space="0" w:color="auto"/>
        <w:left w:val="none" w:sz="0" w:space="0" w:color="auto"/>
        <w:bottom w:val="none" w:sz="0" w:space="0" w:color="auto"/>
        <w:right w:val="none" w:sz="0" w:space="0" w:color="auto"/>
      </w:divBdr>
      <w:divsChild>
        <w:div w:id="752818652">
          <w:marLeft w:val="0"/>
          <w:marRight w:val="0"/>
          <w:marTop w:val="0"/>
          <w:marBottom w:val="0"/>
          <w:divBdr>
            <w:top w:val="none" w:sz="0" w:space="0" w:color="auto"/>
            <w:left w:val="none" w:sz="0" w:space="0" w:color="auto"/>
            <w:bottom w:val="none" w:sz="0" w:space="0" w:color="auto"/>
            <w:right w:val="none" w:sz="0" w:space="0" w:color="auto"/>
          </w:divBdr>
          <w:divsChild>
            <w:div w:id="1624573493">
              <w:marLeft w:val="0"/>
              <w:marRight w:val="0"/>
              <w:marTop w:val="0"/>
              <w:marBottom w:val="0"/>
              <w:divBdr>
                <w:top w:val="none" w:sz="0" w:space="0" w:color="auto"/>
                <w:left w:val="none" w:sz="0" w:space="0" w:color="auto"/>
                <w:bottom w:val="none" w:sz="0" w:space="0" w:color="auto"/>
                <w:right w:val="none" w:sz="0" w:space="0" w:color="auto"/>
              </w:divBdr>
              <w:divsChild>
                <w:div w:id="941643885">
                  <w:marLeft w:val="165"/>
                  <w:marRight w:val="180"/>
                  <w:marTop w:val="0"/>
                  <w:marBottom w:val="0"/>
                  <w:divBdr>
                    <w:top w:val="none" w:sz="0" w:space="0" w:color="auto"/>
                    <w:left w:val="none" w:sz="0" w:space="0" w:color="auto"/>
                    <w:bottom w:val="none" w:sz="0" w:space="0" w:color="auto"/>
                    <w:right w:val="none" w:sz="0" w:space="0" w:color="auto"/>
                  </w:divBdr>
                  <w:divsChild>
                    <w:div w:id="139079451">
                      <w:marLeft w:val="0"/>
                      <w:marRight w:val="0"/>
                      <w:marTop w:val="0"/>
                      <w:marBottom w:val="0"/>
                      <w:divBdr>
                        <w:top w:val="none" w:sz="0" w:space="0" w:color="auto"/>
                        <w:left w:val="single" w:sz="6" w:space="0" w:color="90938B"/>
                        <w:bottom w:val="none" w:sz="0" w:space="0" w:color="auto"/>
                        <w:right w:val="single" w:sz="6" w:space="0" w:color="90938B"/>
                      </w:divBdr>
                      <w:divsChild>
                        <w:div w:id="2005475434">
                          <w:marLeft w:val="0"/>
                          <w:marRight w:val="0"/>
                          <w:marTop w:val="0"/>
                          <w:marBottom w:val="0"/>
                          <w:divBdr>
                            <w:top w:val="none" w:sz="0" w:space="0" w:color="auto"/>
                            <w:left w:val="none" w:sz="0" w:space="0" w:color="auto"/>
                            <w:bottom w:val="none" w:sz="0" w:space="0" w:color="auto"/>
                            <w:right w:val="none" w:sz="0" w:space="0" w:color="auto"/>
                          </w:divBdr>
                          <w:divsChild>
                            <w:div w:id="884683733">
                              <w:marLeft w:val="0"/>
                              <w:marRight w:val="0"/>
                              <w:marTop w:val="0"/>
                              <w:marBottom w:val="0"/>
                              <w:divBdr>
                                <w:top w:val="none" w:sz="0" w:space="0" w:color="auto"/>
                                <w:left w:val="none" w:sz="0" w:space="0" w:color="auto"/>
                                <w:bottom w:val="none" w:sz="0" w:space="0" w:color="auto"/>
                                <w:right w:val="none" w:sz="0" w:space="0" w:color="auto"/>
                              </w:divBdr>
                              <w:divsChild>
                                <w:div w:id="822505865">
                                  <w:marLeft w:val="0"/>
                                  <w:marRight w:val="0"/>
                                  <w:marTop w:val="0"/>
                                  <w:marBottom w:val="0"/>
                                  <w:divBdr>
                                    <w:top w:val="none" w:sz="0" w:space="0" w:color="auto"/>
                                    <w:left w:val="none" w:sz="0" w:space="0" w:color="auto"/>
                                    <w:bottom w:val="none" w:sz="0" w:space="0" w:color="auto"/>
                                    <w:right w:val="none" w:sz="0" w:space="0" w:color="auto"/>
                                  </w:divBdr>
                                  <w:divsChild>
                                    <w:div w:id="386340540">
                                      <w:marLeft w:val="0"/>
                                      <w:marRight w:val="0"/>
                                      <w:marTop w:val="0"/>
                                      <w:marBottom w:val="0"/>
                                      <w:divBdr>
                                        <w:top w:val="none" w:sz="0" w:space="0" w:color="auto"/>
                                        <w:left w:val="none" w:sz="0" w:space="0" w:color="auto"/>
                                        <w:bottom w:val="none" w:sz="0" w:space="0" w:color="auto"/>
                                        <w:right w:val="none" w:sz="0" w:space="0" w:color="auto"/>
                                      </w:divBdr>
                                      <w:divsChild>
                                        <w:div w:id="18551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0615070">
      <w:bodyDiv w:val="1"/>
      <w:marLeft w:val="0"/>
      <w:marRight w:val="0"/>
      <w:marTop w:val="0"/>
      <w:marBottom w:val="0"/>
      <w:divBdr>
        <w:top w:val="none" w:sz="0" w:space="0" w:color="auto"/>
        <w:left w:val="none" w:sz="0" w:space="0" w:color="auto"/>
        <w:bottom w:val="none" w:sz="0" w:space="0" w:color="auto"/>
        <w:right w:val="none" w:sz="0" w:space="0" w:color="auto"/>
      </w:divBdr>
      <w:divsChild>
        <w:div w:id="1329747204">
          <w:marLeft w:val="0"/>
          <w:marRight w:val="0"/>
          <w:marTop w:val="0"/>
          <w:marBottom w:val="0"/>
          <w:divBdr>
            <w:top w:val="none" w:sz="0" w:space="0" w:color="auto"/>
            <w:left w:val="none" w:sz="0" w:space="0" w:color="auto"/>
            <w:bottom w:val="none" w:sz="0" w:space="0" w:color="auto"/>
            <w:right w:val="none" w:sz="0" w:space="0" w:color="auto"/>
          </w:divBdr>
          <w:divsChild>
            <w:div w:id="1049916453">
              <w:marLeft w:val="0"/>
              <w:marRight w:val="0"/>
              <w:marTop w:val="0"/>
              <w:marBottom w:val="0"/>
              <w:divBdr>
                <w:top w:val="none" w:sz="0" w:space="0" w:color="auto"/>
                <w:left w:val="none" w:sz="0" w:space="0" w:color="auto"/>
                <w:bottom w:val="none" w:sz="0" w:space="0" w:color="auto"/>
                <w:right w:val="none" w:sz="0" w:space="0" w:color="auto"/>
              </w:divBdr>
              <w:divsChild>
                <w:div w:id="1986277448">
                  <w:marLeft w:val="165"/>
                  <w:marRight w:val="180"/>
                  <w:marTop w:val="0"/>
                  <w:marBottom w:val="0"/>
                  <w:divBdr>
                    <w:top w:val="none" w:sz="0" w:space="0" w:color="auto"/>
                    <w:left w:val="none" w:sz="0" w:space="0" w:color="auto"/>
                    <w:bottom w:val="none" w:sz="0" w:space="0" w:color="auto"/>
                    <w:right w:val="none" w:sz="0" w:space="0" w:color="auto"/>
                  </w:divBdr>
                  <w:divsChild>
                    <w:div w:id="1584800977">
                      <w:marLeft w:val="0"/>
                      <w:marRight w:val="0"/>
                      <w:marTop w:val="0"/>
                      <w:marBottom w:val="0"/>
                      <w:divBdr>
                        <w:top w:val="none" w:sz="0" w:space="0" w:color="auto"/>
                        <w:left w:val="single" w:sz="6" w:space="0" w:color="90938B"/>
                        <w:bottom w:val="none" w:sz="0" w:space="0" w:color="auto"/>
                        <w:right w:val="single" w:sz="6" w:space="0" w:color="90938B"/>
                      </w:divBdr>
                      <w:divsChild>
                        <w:div w:id="320618810">
                          <w:marLeft w:val="0"/>
                          <w:marRight w:val="0"/>
                          <w:marTop w:val="0"/>
                          <w:marBottom w:val="0"/>
                          <w:divBdr>
                            <w:top w:val="none" w:sz="0" w:space="0" w:color="auto"/>
                            <w:left w:val="none" w:sz="0" w:space="0" w:color="auto"/>
                            <w:bottom w:val="none" w:sz="0" w:space="0" w:color="auto"/>
                            <w:right w:val="none" w:sz="0" w:space="0" w:color="auto"/>
                          </w:divBdr>
                          <w:divsChild>
                            <w:div w:id="1682775766">
                              <w:marLeft w:val="0"/>
                              <w:marRight w:val="0"/>
                              <w:marTop w:val="0"/>
                              <w:marBottom w:val="0"/>
                              <w:divBdr>
                                <w:top w:val="none" w:sz="0" w:space="0" w:color="auto"/>
                                <w:left w:val="none" w:sz="0" w:space="0" w:color="auto"/>
                                <w:bottom w:val="none" w:sz="0" w:space="0" w:color="auto"/>
                                <w:right w:val="none" w:sz="0" w:space="0" w:color="auto"/>
                              </w:divBdr>
                              <w:divsChild>
                                <w:div w:id="1646541170">
                                  <w:marLeft w:val="0"/>
                                  <w:marRight w:val="0"/>
                                  <w:marTop w:val="0"/>
                                  <w:marBottom w:val="0"/>
                                  <w:divBdr>
                                    <w:top w:val="none" w:sz="0" w:space="0" w:color="auto"/>
                                    <w:left w:val="none" w:sz="0" w:space="0" w:color="auto"/>
                                    <w:bottom w:val="none" w:sz="0" w:space="0" w:color="auto"/>
                                    <w:right w:val="none" w:sz="0" w:space="0" w:color="auto"/>
                                  </w:divBdr>
                                  <w:divsChild>
                                    <w:div w:id="1909261955">
                                      <w:marLeft w:val="0"/>
                                      <w:marRight w:val="0"/>
                                      <w:marTop w:val="0"/>
                                      <w:marBottom w:val="0"/>
                                      <w:divBdr>
                                        <w:top w:val="none" w:sz="0" w:space="0" w:color="auto"/>
                                        <w:left w:val="none" w:sz="0" w:space="0" w:color="auto"/>
                                        <w:bottom w:val="none" w:sz="0" w:space="0" w:color="auto"/>
                                        <w:right w:val="none" w:sz="0" w:space="0" w:color="auto"/>
                                      </w:divBdr>
                                      <w:divsChild>
                                        <w:div w:id="132686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727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8F6EE-AC2F-4D13-9BD2-ADCF4058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2432</Words>
  <Characters>13379</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VAISMAN</dc:creator>
  <cp:keywords/>
  <dc:description/>
  <cp:lastModifiedBy>Louise VAISMAN</cp:lastModifiedBy>
  <cp:revision>7</cp:revision>
  <dcterms:created xsi:type="dcterms:W3CDTF">2016-04-21T08:43:00Z</dcterms:created>
  <dcterms:modified xsi:type="dcterms:W3CDTF">2016-05-24T14:22:00Z</dcterms:modified>
</cp:coreProperties>
</file>